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03" w:rsidRPr="004D4203" w:rsidRDefault="004D4203" w:rsidP="004D420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D4203">
        <w:rPr>
          <w:rFonts w:ascii="Times New Roman" w:eastAsia="Times New Roman" w:hAnsi="Times New Roman" w:cs="B Titr" w:hint="cs"/>
          <w:b/>
          <w:bCs/>
          <w:color w:val="000000"/>
          <w:sz w:val="28"/>
          <w:szCs w:val="28"/>
          <w:rtl/>
        </w:rPr>
        <w:t>تأملي در فضايل اصلي چهارگانه با تأكيد بر ديدگاه غزالي</w:t>
      </w:r>
    </w:p>
    <w:p w:rsidR="004D4203" w:rsidRPr="004D4203" w:rsidRDefault="004D4203" w:rsidP="00CB582A">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bookmarkStart w:id="0" w:name="_GoBack"/>
      <w:r w:rsidRPr="004D4203">
        <w:rPr>
          <w:rFonts w:ascii="Times New Roman" w:eastAsia="Times New Roman" w:hAnsi="Times New Roman" w:cs="B Mitra" w:hint="cs"/>
          <w:b/>
          <w:bCs/>
          <w:color w:val="000000"/>
          <w:sz w:val="24"/>
          <w:szCs w:val="24"/>
          <w:rtl/>
        </w:rPr>
        <w:t>محسن جاهد</w:t>
      </w:r>
      <w:r w:rsidRPr="004D4203">
        <w:rPr>
          <w:rFonts w:ascii="Times New Roman" w:eastAsia="Times New Roman" w:hAnsi="Times New Roman" w:cs="B Mitra" w:hint="cs"/>
          <w:b/>
          <w:bCs/>
          <w:color w:val="000000"/>
          <w:sz w:val="24"/>
          <w:szCs w:val="24"/>
        </w:rPr>
        <w:t xml:space="preserve"> / </w:t>
      </w:r>
      <w:r w:rsidRPr="004D4203">
        <w:rPr>
          <w:rFonts w:ascii="Times New Roman" w:eastAsia="Times New Roman" w:hAnsi="Times New Roman" w:cs="B Mitra" w:hint="cs"/>
          <w:b/>
          <w:bCs/>
          <w:color w:val="000000"/>
          <w:sz w:val="24"/>
          <w:szCs w:val="24"/>
          <w:rtl/>
        </w:rPr>
        <w:t>مجيد ملا يوسفي</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چكيده</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b/>
          <w:bCs/>
          <w:color w:val="000000"/>
          <w:sz w:val="24"/>
          <w:szCs w:val="24"/>
          <w:rtl/>
        </w:rPr>
        <w:t xml:space="preserve">اخلاق فلسفي در جهان اسلام به شدت متأثر از انديشه‌هاي يوناني است، اما متفكران مسلمان، با انديشه ورزي و تأمّل، اين نوع نگرش اخلاقي را توسعه داده و بر غناي آن افزوده‌اند. غزالي در دوره اول انديشه خود، با تأليف كتاب «ميزان العمل» در چارچوب اخلاق فلسفي، در پيشبرد اين نگرش مؤثر بوده است. وي با پذيرش علم النفس افلاطوني ـ تقسيم قواي نفس آدمي به ناطقه، غضبيه و شهويه </w:t>
      </w:r>
      <w:r w:rsidRPr="004D4203">
        <w:rPr>
          <w:rFonts w:ascii="Sakkal Majalla" w:eastAsia="Times New Roman" w:hAnsi="Sakkal Majalla" w:cs="Sakkal Majalla" w:hint="cs"/>
          <w:b/>
          <w:bCs/>
          <w:color w:val="000000"/>
          <w:sz w:val="24"/>
          <w:szCs w:val="24"/>
          <w:rtl/>
        </w:rPr>
        <w:t>–</w:t>
      </w:r>
      <w:r w:rsidRPr="004D4203">
        <w:rPr>
          <w:rFonts w:ascii="Times New Roman" w:eastAsia="Times New Roman" w:hAnsi="Times New Roman" w:cs="B Mitra" w:hint="cs"/>
          <w:b/>
          <w:bCs/>
          <w:color w:val="000000"/>
          <w:sz w:val="24"/>
          <w:szCs w:val="24"/>
          <w:rtl/>
        </w:rPr>
        <w:t xml:space="preserve"> و فضايل چهارگانة او، در تنقيح و تبيين فضايل و رذايل اخلاقي كوشيد. از نظر وي مراد از حكمت، حكمت عملي است، اين رأي او خلاف انديشه‌هاي ابن‌مسكويه و مولي مهدي نراقي است. همچنين وي بر اين باور است كه فضيلت عدالت، اساساً دو طرف افراط و تفريط نداشته و تنها رذيلتِ مقابلِ آن «جور» است. از ديگر باورهاي وي، آن است كه تحت فضيلت عدالت هيچ فضيلتِ فرعي‌اي جاي نمي‌گيرد. اين رأي او همچنان كه جلال الدين دواني در خصوص ابن سينا تعليل كرده است، ناشي از اين است كه وي عدالت را مجموع فضايل سه گانه دانسته و مستقل نمي‌داند</w:t>
      </w:r>
      <w:r w:rsidRPr="004D4203">
        <w:rPr>
          <w:rFonts w:ascii="Times New Roman" w:eastAsia="Times New Roman" w:hAnsi="Times New Roman" w:cs="B Mitra" w:hint="cs"/>
          <w:b/>
          <w:bCs/>
          <w:color w:val="000000"/>
          <w:sz w:val="24"/>
          <w:szCs w:val="24"/>
        </w:rPr>
        <w:t>.</w:t>
      </w:r>
    </w:p>
    <w:bookmarkEnd w:id="0"/>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b/>
          <w:bCs/>
          <w:color w:val="000000"/>
          <w:sz w:val="24"/>
          <w:szCs w:val="24"/>
          <w:rtl/>
        </w:rPr>
        <w:t>كليد واژه‌ها: غزالي، فضايل و رذايل اصلي، عدالت، حكمت عملي</w:t>
      </w:r>
      <w:r w:rsidRPr="004D4203">
        <w:rPr>
          <w:rFonts w:ascii="Times New Roman" w:eastAsia="Times New Roman" w:hAnsi="Times New Roman" w:cs="B Mitra" w:hint="cs"/>
          <w:b/>
          <w:bCs/>
          <w:color w:val="000000"/>
          <w:sz w:val="24"/>
          <w:szCs w:val="24"/>
        </w:rPr>
        <w:t>.</w:t>
      </w:r>
    </w:p>
    <w:p w:rsidR="004D4203" w:rsidRPr="004D4203" w:rsidRDefault="004D4203" w:rsidP="004D420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D4203">
        <w:rPr>
          <w:rFonts w:ascii="Times New Roman" w:eastAsia="Times New Roman" w:hAnsi="Times New Roman" w:cs="B Titr" w:hint="cs"/>
          <w:b/>
          <w:bCs/>
          <w:color w:val="000000"/>
          <w:sz w:val="28"/>
          <w:szCs w:val="28"/>
          <w:rtl/>
        </w:rPr>
        <w:t>مقدمه</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انديشه‌هاي اخلاقي افلاطون و ارسطو، گرايش‌هاي گوناگون اخلاق فلسفي را در جهان اسلام به شدت تحت تأثير قرار داده است. بسياري از كتاب‌ها در اين مكتب، تقسيم‌بندي افلاطون از قواي نفس آدمي ـ قوة ناطقه، قوة شهويه و قوة غضبيه ـ را بيان كرده و بر اساس آن، فضايل و رذايل نفس آدمي را بر شمرده‌اند. سپس آن را با قاعدة حدّ وسط ارسطو تلفيق كرده‌اند</w:t>
      </w:r>
      <w:r w:rsidRPr="004D4203">
        <w:rPr>
          <w:rFonts w:ascii="Times New Roman" w:eastAsia="Times New Roman" w:hAnsi="Times New Roman" w:cs="B Mitra" w:hint="cs"/>
          <w:color w:val="000000"/>
          <w:sz w:val="24"/>
          <w:szCs w:val="24"/>
        </w:rPr>
        <w:t>. </w:t>
      </w:r>
      <w:bookmarkStart w:id="1" w:name="_ednref1"/>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w:t>
      </w:r>
      <w:r w:rsidRPr="004D4203">
        <w:rPr>
          <w:rFonts w:ascii="Times New Roman" w:eastAsia="Times New Roman" w:hAnsi="Times New Roman" w:cs="B Mitra"/>
          <w:color w:val="000000"/>
          <w:sz w:val="24"/>
          <w:szCs w:val="24"/>
        </w:rPr>
        <w:fldChar w:fldCharType="end"/>
      </w:r>
      <w:bookmarkEnd w:id="1"/>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هر چند اخلاق فلسفي در جهان اسلام، از انديشه‌هاي يوناني، افلاطون، ارسطو، فيثاغورث، جالينوس و... ، تأثير پذيرفته است، اما متفكران مسلمان با انديشه ورزي و تأمل و نيز بهره‌گيري از آموزه‌هاي اسلامي، اين نوع نگرش اخلاقي را توسعه داده و بر غناي آن افزوده‌اند. به گونه‌اي كه مي‌توان اخلاق فلسفي‌اي را كه در جهان اسلام شكل گرفت‌، يكي از تقرير‌هاي " اخلاق فضيلت " دانست و آن را " اخلاق فضيلت اسلامي " نامگذاري كرد. اخلاق فضيلت در قرن بيستم با مقالة كلاسيك خانم</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آنسكومب</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تحت ِ عنوان " فلسفة اخلاق جديد</w:t>
      </w:r>
      <w:bookmarkStart w:id="2" w:name="_ednref2"/>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w:t>
      </w:r>
      <w:r w:rsidRPr="004D4203">
        <w:rPr>
          <w:rFonts w:ascii="Times New Roman" w:eastAsia="Times New Roman" w:hAnsi="Times New Roman" w:cs="B Mitra"/>
          <w:color w:val="000000"/>
          <w:sz w:val="24"/>
          <w:szCs w:val="24"/>
        </w:rPr>
        <w:fldChar w:fldCharType="end"/>
      </w:r>
      <w:bookmarkEnd w:id="2"/>
      <w:r w:rsidRPr="004D4203">
        <w:rPr>
          <w:rFonts w:ascii="Times New Roman" w:eastAsia="Times New Roman" w:hAnsi="Times New Roman" w:cs="B Mitra" w:hint="cs"/>
          <w:color w:val="000000"/>
          <w:sz w:val="24"/>
          <w:szCs w:val="24"/>
        </w:rPr>
        <w:t xml:space="preserve"> " </w:t>
      </w:r>
      <w:r w:rsidRPr="004D4203">
        <w:rPr>
          <w:rFonts w:ascii="Times New Roman" w:eastAsia="Times New Roman" w:hAnsi="Times New Roman" w:cs="B Mitra" w:hint="cs"/>
          <w:color w:val="000000"/>
          <w:sz w:val="24"/>
          <w:szCs w:val="24"/>
          <w:rtl/>
        </w:rPr>
        <w:t>احيا شد و يكي از رويكرد‌هاي اخلاقي غني و پرنفوذ در دنياي جديد نام گرفت. اخلاق فضيلت بر خلاف مكاتب اخلاقي جديد، همچون فايده‌گروي</w:t>
      </w:r>
      <w:bookmarkStart w:id="3" w:name="_ednref3"/>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"_edn3"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w:t>
      </w:r>
      <w:r w:rsidRPr="004D4203">
        <w:rPr>
          <w:rFonts w:ascii="Times New Roman" w:eastAsia="Times New Roman" w:hAnsi="Times New Roman" w:cs="B Mitra"/>
          <w:color w:val="000000"/>
          <w:sz w:val="24"/>
          <w:szCs w:val="24"/>
        </w:rPr>
        <w:fldChar w:fldCharType="end"/>
      </w:r>
      <w:bookmarkEnd w:id="3"/>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و وظيفه‌گروي،</w:t>
      </w:r>
      <w:r w:rsidRPr="004D4203">
        <w:rPr>
          <w:rFonts w:ascii="Cambria" w:eastAsia="Times New Roman" w:hAnsi="Cambria" w:cs="Cambria" w:hint="cs"/>
          <w:color w:val="000000"/>
          <w:sz w:val="24"/>
          <w:szCs w:val="24"/>
          <w:rtl/>
        </w:rPr>
        <w:t> </w:t>
      </w:r>
      <w:bookmarkStart w:id="4" w:name="_ednref4"/>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"_edn4"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4</w:t>
      </w:r>
      <w:r w:rsidRPr="004D4203">
        <w:rPr>
          <w:rFonts w:ascii="Times New Roman" w:eastAsia="Times New Roman" w:hAnsi="Times New Roman" w:cs="B Mitra"/>
          <w:color w:val="000000"/>
          <w:sz w:val="24"/>
          <w:szCs w:val="24"/>
        </w:rPr>
        <w:fldChar w:fldCharType="end"/>
      </w:r>
      <w:bookmarkEnd w:id="4"/>
      <w:r w:rsidRPr="004D4203">
        <w:rPr>
          <w:rFonts w:ascii="Times New Roman" w:eastAsia="Times New Roman" w:hAnsi="Times New Roman" w:cs="B Mitra" w:hint="cs"/>
          <w:color w:val="000000"/>
          <w:sz w:val="24"/>
          <w:szCs w:val="24"/>
          <w:rtl/>
        </w:rPr>
        <w:t>توجه به درون آدمي را در مركز تأملات خود قرار مي‌دهد و بر حسن فاعلي پاي مي‌فشارد. در حالي كه، مكاتب اخلاقي جديد، تنها بر حسن فعلي تكيه مي‌كنند و حسن فاعلي در آنها مغفول مي‌ماند. در اخلاق فضيلت، پرسش اصلي اين است كه «بايد چگونه آدمي باشم؟» حال آن‌كه، در مكاتب اخلاقي جديد پرسش اصلي اين است كه «فعل درست كدام است؟</w:t>
      </w:r>
      <w:r w:rsidRPr="004D4203">
        <w:rPr>
          <w:rFonts w:ascii="Times New Roman" w:eastAsia="Times New Roman" w:hAnsi="Times New Roman" w:cs="B Mitra" w:hint="cs"/>
          <w:color w:val="000000"/>
          <w:sz w:val="24"/>
          <w:szCs w:val="24"/>
        </w:rPr>
        <w:t>».</w:t>
      </w:r>
      <w:bookmarkStart w:id="5" w:name="_ednref5"/>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"_edn5"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5</w:t>
      </w:r>
      <w:r w:rsidRPr="004D4203">
        <w:rPr>
          <w:rFonts w:ascii="Times New Roman" w:eastAsia="Times New Roman" w:hAnsi="Times New Roman" w:cs="B Mitra"/>
          <w:color w:val="000000"/>
          <w:sz w:val="24"/>
          <w:szCs w:val="24"/>
        </w:rPr>
        <w:fldChar w:fldCharType="end"/>
      </w:r>
      <w:bookmarkEnd w:id="5"/>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علاوه بر مؤلفه‌هاي فوق‌، اخلاق فضيلت اسلامي مفاهيمي همچون خلافت الاهي،</w:t>
      </w:r>
      <w:r w:rsidRPr="004D4203">
        <w:rPr>
          <w:rFonts w:ascii="Cambria" w:eastAsia="Times New Roman" w:hAnsi="Cambria" w:cs="Cambria" w:hint="cs"/>
          <w:color w:val="000000"/>
          <w:sz w:val="24"/>
          <w:szCs w:val="24"/>
          <w:rtl/>
        </w:rPr>
        <w:t> </w:t>
      </w:r>
      <w:bookmarkStart w:id="6" w:name="_ednref6"/>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"_edn6"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6</w:t>
      </w:r>
      <w:r w:rsidRPr="004D4203">
        <w:rPr>
          <w:rFonts w:ascii="Times New Roman" w:eastAsia="Times New Roman" w:hAnsi="Times New Roman" w:cs="B Mitra"/>
          <w:color w:val="000000"/>
          <w:sz w:val="24"/>
          <w:szCs w:val="24"/>
        </w:rPr>
        <w:fldChar w:fldCharType="end"/>
      </w:r>
      <w:bookmarkEnd w:id="6"/>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سعادت اخروي</w:t>
      </w:r>
      <w:bookmarkStart w:id="7" w:name="_ednref7"/>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"_edn7"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7</w:t>
      </w:r>
      <w:r w:rsidRPr="004D4203">
        <w:rPr>
          <w:rFonts w:ascii="Times New Roman" w:eastAsia="Times New Roman" w:hAnsi="Times New Roman" w:cs="B Mitra"/>
          <w:color w:val="000000"/>
          <w:sz w:val="24"/>
          <w:szCs w:val="24"/>
        </w:rPr>
        <w:fldChar w:fldCharType="end"/>
      </w:r>
      <w:bookmarkEnd w:id="7"/>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را در كانون توجه خود قرار مي‌دهد. از ديگر وجوه تمايز اخلاق فضيلت اسلامي، با اخلاق فضيلت باستان و جديد،</w:t>
      </w:r>
      <w:r w:rsidRPr="004D4203">
        <w:rPr>
          <w:rFonts w:ascii="Cambria" w:eastAsia="Times New Roman" w:hAnsi="Cambria" w:cs="Cambria" w:hint="cs"/>
          <w:color w:val="000000"/>
          <w:sz w:val="24"/>
          <w:szCs w:val="24"/>
          <w:rtl/>
        </w:rPr>
        <w:t> </w:t>
      </w:r>
      <w:bookmarkStart w:id="8" w:name="_ednref8"/>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"_edn8"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8</w:t>
      </w:r>
      <w:r w:rsidRPr="004D4203">
        <w:rPr>
          <w:rFonts w:ascii="Times New Roman" w:eastAsia="Times New Roman" w:hAnsi="Times New Roman" w:cs="B Mitra"/>
          <w:color w:val="000000"/>
          <w:sz w:val="24"/>
          <w:szCs w:val="24"/>
        </w:rPr>
        <w:fldChar w:fldCharType="end"/>
      </w:r>
      <w:bookmarkEnd w:id="8"/>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آن است كه اخلاق فضيلت باستان و جديد بر منش و حالات دروني‌اي تكيه مي‌كند كه برآمده از جامعه و عرفي‌اند. اين نحوة نگرش به انسان و فضايل و رذايل اخلاقي او از استعداد بسياري برخوردار است تا در دام نسبيت‌گرايي اخلاقي بيافتد. اين خطري است كه فضيلت گرايان معاصر از آن غافل نبوده‌اند</w:t>
      </w:r>
      <w:r w:rsidRPr="004D4203">
        <w:rPr>
          <w:rFonts w:ascii="Times New Roman" w:eastAsia="Times New Roman" w:hAnsi="Times New Roman" w:cs="B Mitra" w:hint="cs"/>
          <w:color w:val="000000"/>
          <w:sz w:val="24"/>
          <w:szCs w:val="24"/>
        </w:rPr>
        <w:t>.</w:t>
      </w:r>
      <w:bookmarkStart w:id="9" w:name="_ednref9"/>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"_edn9"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9</w:t>
      </w:r>
      <w:r w:rsidRPr="004D4203">
        <w:rPr>
          <w:rFonts w:ascii="Times New Roman" w:eastAsia="Times New Roman" w:hAnsi="Times New Roman" w:cs="B Mitra"/>
          <w:color w:val="000000"/>
          <w:sz w:val="24"/>
          <w:szCs w:val="24"/>
        </w:rPr>
        <w:fldChar w:fldCharType="end"/>
      </w:r>
      <w:bookmarkEnd w:id="9"/>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اما اخلاق فضيلت اسلامي، به دليل تكيه بر مفاهيم برآمده از قرآن كريم‌، منش و حالات دروني‌اي را توصيه مي‌كند كه رنگ و بويي متناسب با اوصاف و اخلاق الاهي دارند، زيرا وي خليفه خداوند در زمين است. (بقره:30؛ اعراف: 129) اين خليفه‌، هويت و خود ِ حقيقي‌اش تنها در پيوند با خالقش معنا خواهد داشت</w:t>
      </w:r>
      <w:r w:rsidRPr="004D4203">
        <w:rPr>
          <w:rFonts w:ascii="Times New Roman" w:eastAsia="Times New Roman" w:hAnsi="Times New Roman" w:cs="B Mitra" w:hint="cs"/>
          <w:color w:val="000000"/>
          <w:sz w:val="24"/>
          <w:szCs w:val="24"/>
        </w:rPr>
        <w:t>.</w:t>
      </w:r>
      <w:bookmarkStart w:id="10" w:name="_ednref10"/>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"_edn10"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10</w:t>
      </w:r>
      <w:r w:rsidRPr="004D4203">
        <w:rPr>
          <w:rFonts w:ascii="Times New Roman" w:eastAsia="Times New Roman" w:hAnsi="Times New Roman" w:cs="B Mitra"/>
          <w:color w:val="000000"/>
          <w:sz w:val="24"/>
          <w:szCs w:val="24"/>
        </w:rPr>
        <w:fldChar w:fldCharType="end"/>
      </w:r>
      <w:bookmarkEnd w:id="10"/>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 xml:space="preserve">اين نحوة نگرش به انسان و فضايل و رذايل اخلاقي او، راه‌هاي بهتري براي گريز از نسبيت گرايي اخلاقي فراهم مي‌آورد‌؛ زيرا خداوند و اوصاف او واحدند. از اين‌رو، انسان نيز كه خليفة اوست، در همه جا از ماهيت و فضايل و رذايل يك‌ساني برخوردار خواهد بود. غزالي در دورة اول انديشة اخلاقي خود، كه مظهر و مجلاي آن كتاب «ميزان العمل» است، با بهره گيري از انديشه‌هاي يوناني و تلفيق آن با آموزه‌هاي موجود در سنّت اسلامي و </w:t>
      </w:r>
      <w:r w:rsidRPr="004D4203">
        <w:rPr>
          <w:rFonts w:ascii="Times New Roman" w:eastAsia="Times New Roman" w:hAnsi="Times New Roman" w:cs="B Mitra" w:hint="cs"/>
          <w:color w:val="000000"/>
          <w:sz w:val="24"/>
          <w:szCs w:val="24"/>
          <w:rtl/>
        </w:rPr>
        <w:lastRenderedPageBreak/>
        <w:t>نيز تيزبيني خاص خود‌، در تنقيح و پيشرفت اخلاق فضيلت اسلامي مشاركت جست. اين مقاله به بررسي «فضايل و رذايل اصلي اخلاقي» از نظر او با تكيه بر كتاب «ميزان العمل» مي‌پردازد</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D4203">
        <w:rPr>
          <w:rFonts w:ascii="Times New Roman" w:eastAsia="Times New Roman" w:hAnsi="Times New Roman" w:cs="B Titr" w:hint="cs"/>
          <w:b/>
          <w:bCs/>
          <w:color w:val="000000"/>
          <w:sz w:val="28"/>
          <w:szCs w:val="28"/>
        </w:rPr>
        <w:t xml:space="preserve">1. </w:t>
      </w:r>
      <w:r w:rsidRPr="004D4203">
        <w:rPr>
          <w:rFonts w:ascii="Times New Roman" w:eastAsia="Times New Roman" w:hAnsi="Times New Roman" w:cs="B Titr" w:hint="cs"/>
          <w:b/>
          <w:bCs/>
          <w:color w:val="000000"/>
          <w:sz w:val="28"/>
          <w:szCs w:val="28"/>
          <w:rtl/>
        </w:rPr>
        <w:t>فضايل اصلي</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 xml:space="preserve">غزالي همچون ساير فيلسوفانِ اخلاقِ مسلمان، به پيروي از افلاطون، نفس آدمي را داراي سه جزو </w:t>
      </w:r>
      <w:r w:rsidRPr="004D4203">
        <w:rPr>
          <w:rFonts w:ascii="Sakkal Majalla" w:eastAsia="Times New Roman" w:hAnsi="Sakkal Majalla" w:cs="Sakkal Majalla" w:hint="cs"/>
          <w:color w:val="000000"/>
          <w:sz w:val="24"/>
          <w:szCs w:val="24"/>
          <w:rtl/>
        </w:rPr>
        <w:t>–</w:t>
      </w:r>
      <w:r w:rsidRPr="004D4203">
        <w:rPr>
          <w:rFonts w:ascii="Times New Roman" w:eastAsia="Times New Roman" w:hAnsi="Times New Roman" w:cs="B Mitra" w:hint="cs"/>
          <w:color w:val="000000"/>
          <w:sz w:val="24"/>
          <w:szCs w:val="24"/>
          <w:rtl/>
        </w:rPr>
        <w:t xml:space="preserve"> قوة ناطقه، قوة شهويه و قوة غضبيه </w:t>
      </w:r>
      <w:r w:rsidRPr="004D4203">
        <w:rPr>
          <w:rFonts w:ascii="Sakkal Majalla" w:eastAsia="Times New Roman" w:hAnsi="Sakkal Majalla" w:cs="Sakkal Majalla" w:hint="cs"/>
          <w:color w:val="000000"/>
          <w:sz w:val="24"/>
          <w:szCs w:val="24"/>
          <w:rtl/>
        </w:rPr>
        <w:t>–</w:t>
      </w:r>
      <w:r w:rsidRPr="004D4203">
        <w:rPr>
          <w:rFonts w:ascii="Times New Roman" w:eastAsia="Times New Roman" w:hAnsi="Times New Roman" w:cs="B Mitra" w:hint="cs"/>
          <w:color w:val="000000"/>
          <w:sz w:val="24"/>
          <w:szCs w:val="24"/>
          <w:rtl/>
        </w:rPr>
        <w:t xml:space="preserve"> دانسته و فضايل اخلاقي را بر قواي سه گانة مذكور مبتني كرده است</w:t>
      </w:r>
      <w:r w:rsidRPr="004D4203">
        <w:rPr>
          <w:rFonts w:ascii="Times New Roman" w:eastAsia="Times New Roman" w:hAnsi="Times New Roman" w:cs="B Mitra" w:hint="cs"/>
          <w:color w:val="000000"/>
          <w:sz w:val="24"/>
          <w:szCs w:val="24"/>
        </w:rPr>
        <w:t>.</w:t>
      </w:r>
      <w:bookmarkStart w:id="11" w:name="_ednref11"/>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11</w:t>
      </w:r>
      <w:r w:rsidRPr="004D4203">
        <w:rPr>
          <w:rFonts w:ascii="Times New Roman" w:eastAsia="Times New Roman" w:hAnsi="Times New Roman" w:cs="B Mitra"/>
          <w:color w:val="000000"/>
          <w:sz w:val="24"/>
          <w:szCs w:val="24"/>
        </w:rPr>
        <w:fldChar w:fldCharType="end"/>
      </w:r>
      <w:bookmarkEnd w:id="11"/>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از نظر وي، همچون ساير فيلسوفان اخلاق مسلمان، فضايل اصلي نفس آدمي عبارتند از: حكمت، شجاعت، عفت و عدالت</w:t>
      </w:r>
      <w:r w:rsidRPr="004D4203">
        <w:rPr>
          <w:rFonts w:ascii="Times New Roman" w:eastAsia="Times New Roman" w:hAnsi="Times New Roman" w:cs="B Mitra" w:hint="cs"/>
          <w:color w:val="000000"/>
          <w:sz w:val="24"/>
          <w:szCs w:val="24"/>
        </w:rPr>
        <w:t>.</w:t>
      </w:r>
      <w:bookmarkStart w:id="12" w:name="_ednref12"/>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12</w:t>
      </w:r>
      <w:r w:rsidRPr="004D4203">
        <w:rPr>
          <w:rFonts w:ascii="Times New Roman" w:eastAsia="Times New Roman" w:hAnsi="Times New Roman" w:cs="B Mitra"/>
          <w:color w:val="000000"/>
          <w:sz w:val="24"/>
          <w:szCs w:val="24"/>
        </w:rPr>
        <w:fldChar w:fldCharType="end"/>
      </w:r>
      <w:bookmarkEnd w:id="12"/>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حكمت، فضيلت قوة ناطقه (عاقله)‌ي انسان است؛ شجاعت، فضيلتِ قوة غضبيه؛ عفت، فضيلت قوة شهويه و عدالت مربوط به هر سه قوة مذكور است. اين فضايل حدّ وسط دو طرفِ افراط و تفريط‌اند. افراط و تفريط هر يك از قوا رذيلت محسوب مي‌شود</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4D4203">
        <w:rPr>
          <w:rFonts w:ascii="Times New Roman" w:eastAsia="Times New Roman" w:hAnsi="Times New Roman" w:cs="B Mitra" w:hint="cs"/>
          <w:b/>
          <w:bCs/>
          <w:color w:val="000000"/>
          <w:sz w:val="27"/>
          <w:szCs w:val="27"/>
          <w:rtl/>
        </w:rPr>
        <w:t>حكمت</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غزالي قوة عاقله را داراي دو بخش مي‌داند: 1. عقل نظري كه حقايق كلي ضروري و نظري را از عالم بالا دريافت مي‌كند. اين دسته از حقايق ازلاً و ابداً صادق‌اند؛ 2. عقل عملي كه مربوط به بدن و تدبير و ادارة آن است. عقل عملي حقايقي را درك مي‌كند كه دگرگون مي‌شوند و ثبات ندارند، مانند اين حقيقت كه «بخشش داراي فضيلت است». هر چند علي الاصول بخشش دارايي، فضيلت محسوب مي‌شود، اما اين عمل گاهي در حق برخي اشخاص نه تنها فضيلت مندانه نيست، كه رذيلت است. از اين رو، اين حكمت، مجازي است. اين نوع حكمت را مي‌توان حكمت خُلقي ناميد. حكمت خُلقي، حالت و فضيلتي در نفس عاقله است كه نفس به واسطة آن قوة غضبيه و شهويه را اداره مي‌كند و معلوم مي‌كند اين دو نفس بايد تا كجا پيش روند و در كجا پا پس كشند، حكمت خُلقي، شناختِ اعمالِ درست است</w:t>
      </w:r>
      <w:r w:rsidRPr="004D4203">
        <w:rPr>
          <w:rFonts w:ascii="Times New Roman" w:eastAsia="Times New Roman" w:hAnsi="Times New Roman" w:cs="B Mitra" w:hint="cs"/>
          <w:color w:val="000000"/>
          <w:sz w:val="24"/>
          <w:szCs w:val="24"/>
        </w:rPr>
        <w:t>.</w:t>
      </w:r>
      <w:bookmarkStart w:id="13" w:name="_ednref13"/>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"_edn13"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13</w:t>
      </w:r>
      <w:r w:rsidRPr="004D4203">
        <w:rPr>
          <w:rFonts w:ascii="Times New Roman" w:eastAsia="Times New Roman" w:hAnsi="Times New Roman" w:cs="B Mitra"/>
          <w:color w:val="000000"/>
          <w:sz w:val="24"/>
          <w:szCs w:val="24"/>
        </w:rPr>
        <w:fldChar w:fldCharType="end"/>
      </w:r>
      <w:bookmarkEnd w:id="13"/>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مراد</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از حكمت، كه آن را يكي از فضايل چهارگانه ذكر مي‌كند، همين قسم دوم، حكمت عملي يا حكمت خُلقي است؛ زيرا او آنگاه كه دو طرفِ افراط و تفريطِ حكمت، خِّب (حيله گري) و بَلَه (كم خردي)- را ذكر مي‌كند، آنها را چنين تعريف كرده است: «خبّ»، طرفِ افراط حكمت است و آن حالتي كه انسان به واسطة آن داراي مكر و حيله مي‌شود. اين حالت در اثر رها كردن قوة غضبيه و شهويه براي حركت، آن هم حركتي زايد بر مقدار لازم، به سوي مطلوب حاصل مي‌شود و «بَلَه» طرف تفريط حكمت و كوتاهي از حدّ اعتدال در آن است. اين رذيلت، حالتي براي نفس است كه سبب مي‌شود قوة غضبيه و شهويه كمتر از مقدار لازم عمل كنند و منشأ اين رذيلت، كندي فهم و آگاهي كم نسبت به اعمال درست است</w:t>
      </w:r>
      <w:r w:rsidRPr="004D4203">
        <w:rPr>
          <w:rFonts w:ascii="Times New Roman" w:eastAsia="Times New Roman" w:hAnsi="Times New Roman" w:cs="B Mitra" w:hint="cs"/>
          <w:color w:val="000000"/>
          <w:sz w:val="24"/>
          <w:szCs w:val="24"/>
        </w:rPr>
        <w:t>.</w:t>
      </w:r>
      <w:bookmarkStart w:id="14" w:name="_ednref14"/>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"_edn14"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14</w:t>
      </w:r>
      <w:r w:rsidRPr="004D4203">
        <w:rPr>
          <w:rFonts w:ascii="Times New Roman" w:eastAsia="Times New Roman" w:hAnsi="Times New Roman" w:cs="B Mitra"/>
          <w:color w:val="000000"/>
          <w:sz w:val="24"/>
          <w:szCs w:val="24"/>
        </w:rPr>
        <w:fldChar w:fldCharType="end"/>
      </w:r>
      <w:bookmarkEnd w:id="14"/>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تعاريف فوق مُشعر به كردار و رفتار آدمي هستند. از اين رو، مفهوم حكمت، كه در مقابل آنها قرار مي‌گيرد، نيز مربوط به رفتار و فعل آدمي خواهد بود. ديگر آنكه‌، غزالي آنگاه كه فضايل فرعي تحت حكمت را بر مي‌شمرد، در تعريف پاره‌اي از آنها عباراتي را بيان مي‌كند كه ناظر به عمل و رفتار آدمي هستند. به عنوان نمونه، در تعريف «حسن تدبير» مي‌گويد: «آن، نيكويي انديشه در استنباط چيزهايي است كه براي خوبي‌هاي بزرگ و اهداف شريف بهتر و مهم‌تراند، خواه مربوط به خود تو باشند و يا آنكه اشخاص ديگر را در ادارة خانواده يا شهر يا مقاومت در برابر دشمن و يا دفع شرّي راهنمايي كني</w:t>
      </w:r>
      <w:r w:rsidRPr="004D4203">
        <w:rPr>
          <w:rFonts w:ascii="Times New Roman" w:eastAsia="Times New Roman" w:hAnsi="Times New Roman" w:cs="B Mitra" w:hint="cs"/>
          <w:color w:val="000000"/>
          <w:sz w:val="24"/>
          <w:szCs w:val="24"/>
        </w:rPr>
        <w:t>»</w:t>
      </w:r>
      <w:bookmarkStart w:id="15" w:name="_ednref15"/>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"_edn15"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15</w:t>
      </w:r>
      <w:r w:rsidRPr="004D4203">
        <w:rPr>
          <w:rFonts w:ascii="Times New Roman" w:eastAsia="Times New Roman" w:hAnsi="Times New Roman" w:cs="B Mitra"/>
          <w:color w:val="000000"/>
          <w:sz w:val="24"/>
          <w:szCs w:val="24"/>
        </w:rPr>
        <w:fldChar w:fldCharType="end"/>
      </w:r>
      <w:bookmarkEnd w:id="15"/>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و يا در تعريف «انديشه صائب» مي‌گويد: «آن، آگاهي يافتنِ سريع است از اموري كه موجب مي‌شوند كارها نتايجي پسنديده داشته باشند</w:t>
      </w:r>
      <w:r w:rsidRPr="004D4203">
        <w:rPr>
          <w:rFonts w:ascii="Times New Roman" w:eastAsia="Times New Roman" w:hAnsi="Times New Roman" w:cs="B Mitra" w:hint="cs"/>
          <w:color w:val="000000"/>
          <w:sz w:val="24"/>
          <w:szCs w:val="24"/>
        </w:rPr>
        <w:t>».</w:t>
      </w:r>
      <w:bookmarkStart w:id="16" w:name="_ednref16"/>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"_edn16"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16</w:t>
      </w:r>
      <w:r w:rsidRPr="004D4203">
        <w:rPr>
          <w:rFonts w:ascii="Times New Roman" w:eastAsia="Times New Roman" w:hAnsi="Times New Roman" w:cs="B Mitra"/>
          <w:color w:val="000000"/>
          <w:sz w:val="24"/>
          <w:szCs w:val="24"/>
        </w:rPr>
        <w:fldChar w:fldCharType="end"/>
      </w:r>
      <w:bookmarkEnd w:id="16"/>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نكته فوق تفاوت</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را با</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ابن مسكويه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در تعريف حكمت نشان مي‌دهد. عبارتِ ابن</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مسكويه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 xml:space="preserve">در تعريفِ فضيلتِ حكمت، ظهور در حكمت نظري دارد. وي در تبيين معناي حكمت آورده است: «هر گاه حركتِ نفسِ ناطقه معتدل باشد و خارج از ذاتِ خود نباشد و شوقش به معارفِ درست باشد، نه به چيزهايي كه گمان مي‌رود معارف‌اند، و حال آنكه در حقيقت جهالات‌اند، فضيلت از آن پديد و حكمت به دنبال مي‌آيد، </w:t>
      </w:r>
      <w:r w:rsidRPr="004D4203">
        <w:rPr>
          <w:rFonts w:ascii="Times New Roman" w:eastAsia="Times New Roman" w:hAnsi="Times New Roman" w:cs="B Mitra" w:hint="cs"/>
          <w:color w:val="000000"/>
          <w:sz w:val="24"/>
          <w:szCs w:val="24"/>
        </w:rPr>
        <w:t>»</w:t>
      </w:r>
      <w:bookmarkStart w:id="17" w:name="_ednref17"/>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"_edn17"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17</w:t>
      </w:r>
      <w:r w:rsidRPr="004D4203">
        <w:rPr>
          <w:rFonts w:ascii="Times New Roman" w:eastAsia="Times New Roman" w:hAnsi="Times New Roman" w:cs="B Mitra"/>
          <w:color w:val="000000"/>
          <w:sz w:val="24"/>
          <w:szCs w:val="24"/>
        </w:rPr>
        <w:fldChar w:fldCharType="end"/>
      </w:r>
      <w:bookmarkEnd w:id="17"/>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و نيز «آن (حكمت)، عبارت از فضيلتِ نفس ناطقة مميزه است و آن، چنين است كه همه موجودات را از آن جهت كه موجودند، بداني و اگر خواهي بگوي كه امور الاهي و امور انساني را بداني. و ثمرة آگاهي بدان‌ها (يعني آن موجودات) اين مي‌شود كه بداني از معقولات كداميك را بايد بررسي و كداميك را مورد غفلت قرار دهي</w:t>
      </w:r>
      <w:r w:rsidRPr="004D4203">
        <w:rPr>
          <w:rFonts w:ascii="Times New Roman" w:eastAsia="Times New Roman" w:hAnsi="Times New Roman" w:cs="B Mitra" w:hint="cs"/>
          <w:color w:val="000000"/>
          <w:sz w:val="24"/>
          <w:szCs w:val="24"/>
        </w:rPr>
        <w:t>.»</w:t>
      </w:r>
      <w:bookmarkStart w:id="18" w:name="_ednref18"/>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"_edn18"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18</w:t>
      </w:r>
      <w:r w:rsidRPr="004D4203">
        <w:rPr>
          <w:rFonts w:ascii="Times New Roman" w:eastAsia="Times New Roman" w:hAnsi="Times New Roman" w:cs="B Mitra"/>
          <w:color w:val="000000"/>
          <w:sz w:val="24"/>
          <w:szCs w:val="24"/>
        </w:rPr>
        <w:fldChar w:fldCharType="end"/>
      </w:r>
      <w:bookmarkEnd w:id="18"/>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به نظر مي‌رسد، غزالي و ابن‌مسكويه، هر دو، بدون دليلي موجّه تنها يك جنبة حكمت را در نظر گرفته باشند. مولي مهدي نراقي، حكمت را شامل هر دو قسم آن دانسته است</w:t>
      </w:r>
      <w:r w:rsidRPr="004D4203">
        <w:rPr>
          <w:rFonts w:ascii="Times New Roman" w:eastAsia="Times New Roman" w:hAnsi="Times New Roman" w:cs="B Mitra" w:hint="cs"/>
          <w:color w:val="000000"/>
          <w:sz w:val="24"/>
          <w:szCs w:val="24"/>
        </w:rPr>
        <w:t>.</w:t>
      </w:r>
      <w:bookmarkStart w:id="19" w:name="_ednref19"/>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"_edn19"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19</w:t>
      </w:r>
      <w:r w:rsidRPr="004D4203">
        <w:rPr>
          <w:rFonts w:ascii="Times New Roman" w:eastAsia="Times New Roman" w:hAnsi="Times New Roman" w:cs="B Mitra"/>
          <w:color w:val="000000"/>
          <w:sz w:val="24"/>
          <w:szCs w:val="24"/>
        </w:rPr>
        <w:fldChar w:fldCharType="end"/>
      </w:r>
      <w:bookmarkEnd w:id="19"/>
      <w:r w:rsidRPr="004D4203">
        <w:rPr>
          <w:rFonts w:ascii="Times New Roman" w:eastAsia="Times New Roman" w:hAnsi="Times New Roman" w:cs="B Mitra" w:hint="cs"/>
          <w:color w:val="000000"/>
          <w:sz w:val="24"/>
          <w:szCs w:val="24"/>
          <w:rtl/>
        </w:rPr>
        <w:t>مي‌توان گفت موضع او از قوت بيشتري برخوردار است؛ زيرا مطابق نظر ابن‌مسكويه، مي‌بايد بسياري از فضايل مربوط به قوه عاقلة آدمي؛ آنهايي كه مربوط به افعال ارادي انسانند را ناديده انگاشت. مطابق نظر غزالي، گويا چيزي به نام «اخلاق باور</w:t>
      </w:r>
      <w:r w:rsidRPr="004D4203">
        <w:rPr>
          <w:rFonts w:ascii="Times New Roman" w:eastAsia="Times New Roman" w:hAnsi="Times New Roman" w:cs="B Mitra" w:hint="cs"/>
          <w:color w:val="000000"/>
          <w:sz w:val="24"/>
          <w:szCs w:val="24"/>
        </w:rPr>
        <w:t>»</w:t>
      </w:r>
      <w:bookmarkStart w:id="20" w:name="_ednref20"/>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"_edn20"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20</w:t>
      </w:r>
      <w:r w:rsidRPr="004D4203">
        <w:rPr>
          <w:rFonts w:ascii="Times New Roman" w:eastAsia="Times New Roman" w:hAnsi="Times New Roman" w:cs="B Mitra"/>
          <w:color w:val="000000"/>
          <w:sz w:val="24"/>
          <w:szCs w:val="24"/>
        </w:rPr>
        <w:fldChar w:fldCharType="end"/>
      </w:r>
      <w:bookmarkEnd w:id="20"/>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 xml:space="preserve">وجود ندارد؛ بدين معنا كه گويا از نظر غزالي فعل «باور </w:t>
      </w:r>
      <w:r w:rsidRPr="004D4203">
        <w:rPr>
          <w:rFonts w:ascii="Times New Roman" w:eastAsia="Times New Roman" w:hAnsi="Times New Roman" w:cs="B Mitra" w:hint="cs"/>
          <w:color w:val="000000"/>
          <w:sz w:val="24"/>
          <w:szCs w:val="24"/>
          <w:rtl/>
        </w:rPr>
        <w:lastRenderedPageBreak/>
        <w:t>داشتن» عملي ارادي نيست تا متعلَّق وصف «خوب» يا «بد» اخلاقي واقع شود. به زبان اخلاق فضيلت بايد گفت: همان‌طور كه افعال جوارحي ِ آدمي، به فضيلت مندانه بودن يا رذيلت‌مندانه بودن متصف مي‌شوند‌، افعال جوانحي آدمي، همچون حب‌، بغض و باور به چيزي نيز چنين‌اند. ناديده انگاشتن اين بخش از وجود آدمي، اخلاق را از اهداف اساسي‌اش، كه هدايت كردن يا شكوفاسازي استعدادهاي انسان است باز مي‌دارد. اما مطابق نظر</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مولي مهدي نراقي‌</w:t>
      </w:r>
      <w:r w:rsidRPr="004D4203">
        <w:rPr>
          <w:rFonts w:ascii="Times New Roman" w:eastAsia="Times New Roman" w:hAnsi="Times New Roman" w:cs="B Mitra" w:hint="cs"/>
          <w:color w:val="000000"/>
          <w:sz w:val="24"/>
          <w:szCs w:val="24"/>
          <w:rtl/>
        </w:rPr>
        <w:t>، فضيلت ِ حكمت شامل هر دو بخش مي‌شود و از كاستي‌هاي نظرية</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ابن‌مسكويه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و</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در اين خصوص خالي است</w:t>
      </w:r>
      <w:r w:rsidRPr="004D4203">
        <w:rPr>
          <w:rFonts w:ascii="Times New Roman" w:eastAsia="Times New Roman" w:hAnsi="Times New Roman" w:cs="B Mitra" w:hint="cs"/>
          <w:color w:val="000000"/>
          <w:sz w:val="24"/>
          <w:szCs w:val="24"/>
        </w:rPr>
        <w:t>.</w:t>
      </w:r>
      <w:bookmarkStart w:id="21" w:name="_ednref21"/>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21</w:t>
      </w:r>
      <w:r w:rsidRPr="004D4203">
        <w:rPr>
          <w:rFonts w:ascii="Times New Roman" w:eastAsia="Times New Roman" w:hAnsi="Times New Roman" w:cs="B Mitra"/>
          <w:color w:val="000000"/>
          <w:sz w:val="24"/>
          <w:szCs w:val="24"/>
        </w:rPr>
        <w:fldChar w:fldCharType="end"/>
      </w:r>
      <w:bookmarkEnd w:id="21"/>
    </w:p>
    <w:p w:rsidR="004D4203" w:rsidRPr="004D4203" w:rsidRDefault="004D4203" w:rsidP="004D4203">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4D4203">
        <w:rPr>
          <w:rFonts w:ascii="Times New Roman" w:eastAsia="Times New Roman" w:hAnsi="Times New Roman" w:cs="B Mitra" w:hint="cs"/>
          <w:b/>
          <w:bCs/>
          <w:color w:val="000000"/>
          <w:sz w:val="27"/>
          <w:szCs w:val="27"/>
          <w:rtl/>
        </w:rPr>
        <w:t>شجاعت</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شجاعت»، فضيلتي است كه ميان دو رذيلت تهور و جبن، افراط و تفريط قوة غضبيه، قرار دارد. «جُبن» حالتي است در نفس كه موجب مي‌شود قوة غضبيه كمتر از مقدار لازم به اقدام بپردازد. در جايي كه بايد به عملي اقدام كند، از آن روي بگرداند</w:t>
      </w:r>
      <w:r w:rsidRPr="004D4203">
        <w:rPr>
          <w:rFonts w:ascii="Times New Roman" w:eastAsia="Times New Roman" w:hAnsi="Times New Roman" w:cs="B Mitra" w:hint="cs"/>
          <w:color w:val="000000"/>
          <w:sz w:val="24"/>
          <w:szCs w:val="24"/>
        </w:rPr>
        <w:t>. </w:t>
      </w:r>
      <w:bookmarkStart w:id="22" w:name="_ednref22"/>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22</w:t>
      </w:r>
      <w:r w:rsidRPr="004D4203">
        <w:rPr>
          <w:rFonts w:ascii="Times New Roman" w:eastAsia="Times New Roman" w:hAnsi="Times New Roman" w:cs="B Mitra"/>
          <w:color w:val="000000"/>
          <w:sz w:val="24"/>
          <w:szCs w:val="24"/>
        </w:rPr>
        <w:fldChar w:fldCharType="end"/>
      </w:r>
      <w:bookmarkEnd w:id="22"/>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و «تهور»، حالتي است كه به واسطة آن آدمي به افعالي اقدام مي‌كند كه عقل پرهيز از آنها را واجب كرده است</w:t>
      </w:r>
      <w:r w:rsidRPr="004D4203">
        <w:rPr>
          <w:rFonts w:ascii="Times New Roman" w:eastAsia="Times New Roman" w:hAnsi="Times New Roman" w:cs="B Mitra" w:hint="cs"/>
          <w:color w:val="000000"/>
          <w:sz w:val="24"/>
          <w:szCs w:val="24"/>
        </w:rPr>
        <w:t>.</w:t>
      </w:r>
      <w:bookmarkStart w:id="23" w:name="_ednref23"/>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"_edn23"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23</w:t>
      </w:r>
      <w:r w:rsidRPr="004D4203">
        <w:rPr>
          <w:rFonts w:ascii="Times New Roman" w:eastAsia="Times New Roman" w:hAnsi="Times New Roman" w:cs="B Mitra"/>
          <w:color w:val="000000"/>
          <w:sz w:val="24"/>
          <w:szCs w:val="24"/>
        </w:rPr>
        <w:fldChar w:fldCharType="end"/>
      </w:r>
      <w:bookmarkEnd w:id="23"/>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تعريف غزالي از فضيلت شجاعت‌، تفاوت چنداني با تعريف</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ابن‌مسكويه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و ديگر متفكران مسلمان ندارد</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outlineLvl w:val="2"/>
        <w:rPr>
          <w:rFonts w:ascii="Times New Roman" w:eastAsia="Times New Roman" w:hAnsi="Times New Roman" w:cs="B Mitra"/>
          <w:b/>
          <w:bCs/>
          <w:color w:val="000000"/>
          <w:sz w:val="27"/>
          <w:szCs w:val="27"/>
        </w:rPr>
      </w:pPr>
      <w:r w:rsidRPr="004D4203">
        <w:rPr>
          <w:rFonts w:ascii="Times New Roman" w:eastAsia="Times New Roman" w:hAnsi="Times New Roman" w:cs="B Mitra" w:hint="cs"/>
          <w:b/>
          <w:bCs/>
          <w:color w:val="000000"/>
          <w:sz w:val="27"/>
          <w:szCs w:val="27"/>
          <w:rtl/>
        </w:rPr>
        <w:t>عفت</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عفت»، فضيلتي است ميان شَرَه و خمود. «شَرَه» زياده روي در تمايل به لذت‌هايي است كه عقل آنها را تقبيح و نهي كرده است. و «خمود» اهمال در گرايش به چيزهايي است كه عقل رسيدن و به دست آوردن آنها را ممدوح دانسته است</w:t>
      </w:r>
      <w:r w:rsidRPr="004D4203">
        <w:rPr>
          <w:rFonts w:ascii="Times New Roman" w:eastAsia="Times New Roman" w:hAnsi="Times New Roman" w:cs="B Mitra" w:hint="cs"/>
          <w:color w:val="000000"/>
          <w:sz w:val="24"/>
          <w:szCs w:val="24"/>
        </w:rPr>
        <w:t>.</w:t>
      </w:r>
      <w:bookmarkStart w:id="24" w:name="_ednref24"/>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"_edn24"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24</w:t>
      </w:r>
      <w:r w:rsidRPr="004D4203">
        <w:rPr>
          <w:rFonts w:ascii="Times New Roman" w:eastAsia="Times New Roman" w:hAnsi="Times New Roman" w:cs="B Mitra"/>
          <w:color w:val="000000"/>
          <w:sz w:val="24"/>
          <w:szCs w:val="24"/>
        </w:rPr>
        <w:fldChar w:fldCharType="end"/>
      </w:r>
      <w:bookmarkEnd w:id="24"/>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تعريف غزالي از عفت نيز مشابه تعريف ساير متفكران مسلمان است و از آنها فاصله چنداني نگرفته است</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D4203">
        <w:rPr>
          <w:rFonts w:ascii="Times New Roman" w:eastAsia="Times New Roman" w:hAnsi="Times New Roman" w:cs="B Titr" w:hint="cs"/>
          <w:b/>
          <w:bCs/>
          <w:color w:val="000000"/>
          <w:sz w:val="28"/>
          <w:szCs w:val="28"/>
          <w:rtl/>
        </w:rPr>
        <w:t>عدالت</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عدالت»، حالتي است در نفس، مربوط به قواي سه گانه، و بيانگر آن است كه قواي مذكور،</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بايد در اطاعت از يكديگر ترتيبي را رعايت كنند</w:t>
      </w:r>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بدين معنا كه قوة غضبيه و شهويه مطيع و منقاد قوة عاقله باشند،</w:t>
      </w:r>
      <w:r w:rsidRPr="004D4203">
        <w:rPr>
          <w:rFonts w:ascii="Cambria" w:eastAsia="Times New Roman" w:hAnsi="Cambria" w:cs="Cambria" w:hint="cs"/>
          <w:color w:val="000000"/>
          <w:sz w:val="24"/>
          <w:szCs w:val="24"/>
          <w:rtl/>
        </w:rPr>
        <w:t> </w:t>
      </w:r>
      <w:bookmarkStart w:id="25" w:name="_ednref25"/>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"_edn25"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25</w:t>
      </w:r>
      <w:r w:rsidRPr="004D4203">
        <w:rPr>
          <w:rFonts w:ascii="Times New Roman" w:eastAsia="Times New Roman" w:hAnsi="Times New Roman" w:cs="B Mitra"/>
          <w:color w:val="000000"/>
          <w:sz w:val="24"/>
          <w:szCs w:val="24"/>
        </w:rPr>
        <w:fldChar w:fldCharType="end"/>
      </w:r>
      <w:bookmarkEnd w:id="25"/>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چنانچه اين حالت و فضيلت در آدمي محقّق شود، آنگاه در همة امور ديگر از جمله معاملات و سياست نيز عدالت ساري و جاري خواهد شد</w:t>
      </w:r>
      <w:r w:rsidRPr="004D4203">
        <w:rPr>
          <w:rFonts w:ascii="Times New Roman" w:eastAsia="Times New Roman" w:hAnsi="Times New Roman" w:cs="B Mitra" w:hint="cs"/>
          <w:color w:val="000000"/>
          <w:sz w:val="24"/>
          <w:szCs w:val="24"/>
        </w:rPr>
        <w:t>.</w:t>
      </w:r>
      <w:bookmarkStart w:id="26" w:name="_ednref26"/>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"_edn26"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26</w:t>
      </w:r>
      <w:r w:rsidRPr="004D4203">
        <w:rPr>
          <w:rFonts w:ascii="Times New Roman" w:eastAsia="Times New Roman" w:hAnsi="Times New Roman" w:cs="B Mitra"/>
          <w:color w:val="000000"/>
          <w:sz w:val="24"/>
          <w:szCs w:val="24"/>
        </w:rPr>
        <w:fldChar w:fldCharType="end"/>
      </w:r>
      <w:bookmarkEnd w:id="26"/>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به عبارت ديگر، عدالت در اخلاق مفهوم و حقيقتي روان‌شناختي است كه با تحقُقش در نفس آدمي، اثرات آن در جامعه، كه عدالت در معامله و امور سياسي باشد، قابل مشاهده است. از اين‌رو، نبايد فضيلتِ عدالت را، كه فيلسوفانِ اخلاقِ مسلمان، بدان قايل‌اند با مفهوم اجتماعي آن خلط كرد</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i/>
          <w:iCs/>
          <w:color w:val="000000"/>
          <w:sz w:val="24"/>
          <w:szCs w:val="24"/>
          <w:rtl/>
        </w:rPr>
        <w:t>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در بحث از عدالت، در دو موضع با غالب متفكران مسلمان هم رأي نيست و از آنها فاصله گرفته است. در اين ميان، موضع اول او از اهميت بيشتري برخوردار است. به لحاظ تاريخي، شايد، اولين فردي باشد كه به خلطي مهم، كه بسياري از متفكران مسلمان مرتكب آن شده‌اند، تفطن يافته است</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Pr>
        <w:t xml:space="preserve">1. </w:t>
      </w:r>
      <w:r w:rsidRPr="004D4203">
        <w:rPr>
          <w:rFonts w:ascii="Times New Roman" w:eastAsia="Times New Roman" w:hAnsi="Times New Roman" w:cs="B Mitra" w:hint="cs"/>
          <w:color w:val="000000"/>
          <w:sz w:val="24"/>
          <w:szCs w:val="24"/>
          <w:rtl/>
        </w:rPr>
        <w:t>نكته مهمي كه غزالي بدان تفطن يافته، آن است كه عدالت داراي دو طرف افراط و تفريط نيست، بلكه تنها يك رذيلت در مقابل آن قرار دارد و آن «جور» است؛ زيرا بين ترتيب مذكور، اطاعت قوة شهويه و غضبيه از عاقله- و عدم آن، حدّ وسطي وجود ندارد</w:t>
      </w:r>
      <w:r w:rsidRPr="004D4203">
        <w:rPr>
          <w:rFonts w:ascii="Times New Roman" w:eastAsia="Times New Roman" w:hAnsi="Times New Roman" w:cs="B Mitra" w:hint="cs"/>
          <w:color w:val="000000"/>
          <w:sz w:val="24"/>
          <w:szCs w:val="24"/>
        </w:rPr>
        <w:t>.</w:t>
      </w:r>
      <w:bookmarkStart w:id="27" w:name="_ednref27"/>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"_edn27"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27</w:t>
      </w:r>
      <w:r w:rsidRPr="004D4203">
        <w:rPr>
          <w:rFonts w:ascii="Times New Roman" w:eastAsia="Times New Roman" w:hAnsi="Times New Roman" w:cs="B Mitra"/>
          <w:color w:val="000000"/>
          <w:sz w:val="24"/>
          <w:szCs w:val="24"/>
        </w:rPr>
        <w:fldChar w:fldCharType="end"/>
      </w:r>
      <w:bookmarkEnd w:id="27"/>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به عبارت ديگر، يا قوة شهويه و غضبيه از عاقله اطاعت مي‌كنند كه فضيلت عدالت حاصل است، و يا اطاعت نمي‌كنند كه رذيلت «جور» به وجود مي‌آيد. از اين‌رو، اساساً افراط و تفريط در مقابل فضيلتِ عدالت متصوّر نيست</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ساير متفكران مسلمان عموماً، اگر چه عدالت را همچون</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 xml:space="preserve">تعريف كرده‌اند، اما براي آن، دو طرفِ افراط و تفريط بيان كرده‌اند: ظلم و انظلام. «ظلم»‌، طرفِ افراطِ عدالت است و به معناي ضايع كردن حقوق ديگران است و «انظلام»، طرفِ تفريطِ عدالت است و معناي آن‌، </w:t>
      </w:r>
      <w:r w:rsidRPr="004D4203">
        <w:rPr>
          <w:rFonts w:ascii="Times New Roman" w:eastAsia="Times New Roman" w:hAnsi="Times New Roman" w:cs="B Mitra" w:hint="cs"/>
          <w:color w:val="000000"/>
          <w:sz w:val="24"/>
          <w:szCs w:val="24"/>
          <w:rtl/>
        </w:rPr>
        <w:lastRenderedPageBreak/>
        <w:t>اين است كه آدمي اجازه دهد ديگران حقوقش را ضايع كنند</w:t>
      </w:r>
      <w:r w:rsidRPr="004D4203">
        <w:rPr>
          <w:rFonts w:ascii="Times New Roman" w:eastAsia="Times New Roman" w:hAnsi="Times New Roman" w:cs="B Mitra" w:hint="cs"/>
          <w:color w:val="000000"/>
          <w:sz w:val="24"/>
          <w:szCs w:val="24"/>
        </w:rPr>
        <w:t>.</w:t>
      </w:r>
      <w:bookmarkStart w:id="28" w:name="_ednref28"/>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"_edn28"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28</w:t>
      </w:r>
      <w:r w:rsidRPr="004D4203">
        <w:rPr>
          <w:rFonts w:ascii="Times New Roman" w:eastAsia="Times New Roman" w:hAnsi="Times New Roman" w:cs="B Mitra"/>
          <w:color w:val="000000"/>
          <w:sz w:val="24"/>
          <w:szCs w:val="24"/>
        </w:rPr>
        <w:fldChar w:fldCharType="end"/>
      </w:r>
      <w:bookmarkEnd w:id="28"/>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سخن متفكران مذكور داراي دو اشكال اساسي است: اول آنكه، مفهوم عدالت را كه اساساً افراط و تفريط در آن متصوّر نيست، به اين اوصاف متصف كرده‌اند. و ديگر آنكه، مفاهيم «ظلم» و «انظلام» را كه مفاهيمي جامعه شناختي‌اند، دو طرفِ افراط و تفريطِ عدالت كه مفهومي روا‌ن‌شناختي است، قلمداد كرده‌اند</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Pr>
        <w:t xml:space="preserve">2. </w:t>
      </w:r>
      <w:r w:rsidRPr="004D4203">
        <w:rPr>
          <w:rFonts w:ascii="Times New Roman" w:eastAsia="Times New Roman" w:hAnsi="Times New Roman" w:cs="B Mitra" w:hint="cs"/>
          <w:color w:val="000000"/>
          <w:sz w:val="24"/>
          <w:szCs w:val="24"/>
          <w:rtl/>
        </w:rPr>
        <w:t>آيا عدالت فضيلتي بسيط است، يا مركب از فضايل سه گانة حكمت‌، شجاعت و عفت است؟ چنانچه آن را فضيلتي بسيط و مستقل بدانيم، مي‌توان فضايلي فرعي تحت آن بيان كرد. اما اگر آن را فضيلتي مركب از فضايل سه گانه و به عبارتي مجموع فضايل سه گانه بدانيم‌، آنگاه وجهي براي بر شمردن فضايلي فرعي تحتِ آن باقي نمي‌ماند و فضايل فرعي تحت آن، همان فضايل فرعي‌اي خواهند بود كه تحت فضايلِ سه گانة مذكور مندرج‌اند</w:t>
      </w:r>
      <w:r w:rsidRPr="004D4203">
        <w:rPr>
          <w:rFonts w:ascii="Times New Roman" w:eastAsia="Times New Roman" w:hAnsi="Times New Roman" w:cs="B Mitra" w:hint="cs"/>
          <w:color w:val="000000"/>
          <w:sz w:val="24"/>
          <w:szCs w:val="24"/>
        </w:rPr>
        <w:t>.</w:t>
      </w:r>
      <w:bookmarkStart w:id="29" w:name="_ednref29"/>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"_edn29"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29</w:t>
      </w:r>
      <w:r w:rsidRPr="004D4203">
        <w:rPr>
          <w:rFonts w:ascii="Times New Roman" w:eastAsia="Times New Roman" w:hAnsi="Times New Roman" w:cs="B Mitra"/>
          <w:color w:val="000000"/>
          <w:sz w:val="24"/>
          <w:szCs w:val="24"/>
        </w:rPr>
        <w:fldChar w:fldCharType="end"/>
      </w:r>
      <w:bookmarkEnd w:id="29"/>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i/>
          <w:iCs/>
          <w:color w:val="000000"/>
          <w:sz w:val="24"/>
          <w:szCs w:val="24"/>
          <w:rtl/>
        </w:rPr>
        <w:t>ابن سينا</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در رسالة</w:t>
      </w:r>
      <w:r w:rsidRPr="004D4203">
        <w:rPr>
          <w:rFonts w:ascii="Times New Roman" w:eastAsia="Times New Roman" w:hAnsi="Times New Roman" w:cs="B Mitra" w:hint="cs"/>
          <w:b/>
          <w:bCs/>
          <w:i/>
          <w:iCs/>
          <w:color w:val="000000"/>
          <w:sz w:val="24"/>
          <w:szCs w:val="24"/>
          <w:rtl/>
        </w:rPr>
        <w:t>الأخلاق</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تحت فضيلتِ عدالت هيچ فضيلت فرعي‌اي بيان نكرده است</w:t>
      </w:r>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i/>
          <w:iCs/>
          <w:color w:val="000000"/>
          <w:sz w:val="24"/>
          <w:szCs w:val="24"/>
          <w:rtl/>
        </w:rPr>
        <w:t>جلال الدين دواني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در</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لوامع الاشراق في مكارم الأشراق</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آن را چنين تعليل كرده است كه</w:t>
      </w:r>
      <w:r w:rsidRPr="004D4203">
        <w:rPr>
          <w:rFonts w:ascii="Times New Roman" w:eastAsia="Times New Roman" w:hAnsi="Times New Roman" w:cs="B Mitra" w:hint="cs"/>
          <w:i/>
          <w:iCs/>
          <w:color w:val="000000"/>
          <w:sz w:val="24"/>
          <w:szCs w:val="24"/>
          <w:rtl/>
        </w:rPr>
        <w:t>ابن سينا</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فضيلت عدالت را مجموع فضايل سه گانه دانسته است. از اين رو، عدالت، فضيلتِ مستقلي نيست تا تحت آن فضايلي فرعي ذكر شود</w:t>
      </w:r>
      <w:r w:rsidRPr="004D4203">
        <w:rPr>
          <w:rFonts w:ascii="Times New Roman" w:eastAsia="Times New Roman" w:hAnsi="Times New Roman" w:cs="B Mitra" w:hint="cs"/>
          <w:color w:val="000000"/>
          <w:sz w:val="24"/>
          <w:szCs w:val="24"/>
        </w:rPr>
        <w:t>.</w:t>
      </w:r>
      <w:bookmarkStart w:id="30" w:name="_ednref30"/>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"_edn30"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30</w:t>
      </w:r>
      <w:r w:rsidRPr="004D4203">
        <w:rPr>
          <w:rFonts w:ascii="Times New Roman" w:eastAsia="Times New Roman" w:hAnsi="Times New Roman" w:cs="B Mitra"/>
          <w:color w:val="000000"/>
          <w:sz w:val="24"/>
          <w:szCs w:val="24"/>
        </w:rPr>
        <w:fldChar w:fldCharType="end"/>
      </w:r>
      <w:bookmarkEnd w:id="30"/>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مرحوم نراقي نيز اندراج فضايلي فرعي را تحت فضيلت عدالت موجه نمي‌داند و در تعريف آن مي‌گويد: «و قد عرفت فيما تقدم ان تخصيص بعض الصفات بالاندراج تحتها (العداله)؛ مما لا وجه له‌، اذ جميع الرذائل و الفضائل لايخرج عن التعلق بالقوي الثلاث؛ اعني العاقله و الغضبيه و الشهويه و ان كان للقوه العمليه مدخليه في الجميع؛ من حيث التوسط‌، فنحن ندخل الجميع تحت أجناس القوي الثلاث من غير اندراج شئ منها تحت العداله</w:t>
      </w:r>
      <w:r w:rsidRPr="004D4203">
        <w:rPr>
          <w:rFonts w:ascii="Times New Roman" w:eastAsia="Times New Roman" w:hAnsi="Times New Roman" w:cs="B Mitra" w:hint="cs"/>
          <w:color w:val="000000"/>
          <w:sz w:val="24"/>
          <w:szCs w:val="24"/>
        </w:rPr>
        <w:t>.</w:t>
      </w:r>
      <w:bookmarkStart w:id="31" w:name="_ednref31"/>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"_edn31"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31</w:t>
      </w:r>
      <w:r w:rsidRPr="004D4203">
        <w:rPr>
          <w:rFonts w:ascii="Times New Roman" w:eastAsia="Times New Roman" w:hAnsi="Times New Roman" w:cs="B Mitra"/>
          <w:color w:val="000000"/>
          <w:sz w:val="24"/>
          <w:szCs w:val="24"/>
        </w:rPr>
        <w:fldChar w:fldCharType="end"/>
      </w:r>
      <w:bookmarkEnd w:id="31"/>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i/>
          <w:iCs/>
          <w:color w:val="000000"/>
          <w:sz w:val="24"/>
          <w:szCs w:val="24"/>
          <w:rtl/>
        </w:rPr>
        <w:t>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نيز به همين شيوه عمل كرده است. اما براي آن دليلي ذكر نكرده است. شايد بتوان تعليلي را كه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دواني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براي توجيه كار</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ابن سينا</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ذكر كرد و يا تعليل ِ</w:t>
      </w:r>
      <w:r w:rsidRPr="004D4203">
        <w:rPr>
          <w:rFonts w:ascii="Times New Roman" w:eastAsia="Times New Roman" w:hAnsi="Times New Roman" w:cs="B Mitra" w:hint="cs"/>
          <w:i/>
          <w:iCs/>
          <w:color w:val="000000"/>
          <w:sz w:val="24"/>
          <w:szCs w:val="24"/>
          <w:rtl/>
        </w:rPr>
        <w:t>نراقي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را به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نيز تسرّي داد</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D4203">
        <w:rPr>
          <w:rFonts w:ascii="Times New Roman" w:eastAsia="Times New Roman" w:hAnsi="Times New Roman" w:cs="B Titr" w:hint="cs"/>
          <w:b/>
          <w:bCs/>
          <w:color w:val="000000"/>
          <w:sz w:val="28"/>
          <w:szCs w:val="28"/>
        </w:rPr>
        <w:t xml:space="preserve">2. </w:t>
      </w:r>
      <w:r w:rsidRPr="004D4203">
        <w:rPr>
          <w:rFonts w:ascii="Times New Roman" w:eastAsia="Times New Roman" w:hAnsi="Times New Roman" w:cs="B Titr" w:hint="cs"/>
          <w:b/>
          <w:bCs/>
          <w:color w:val="000000"/>
          <w:sz w:val="28"/>
          <w:szCs w:val="28"/>
          <w:rtl/>
        </w:rPr>
        <w:t>رذايل اخلاقي اصلي</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از آنجا كه غزالي قاعدة حدّ وسط ارسطويي را پذيرفته است، در بيان رذايل اصلي‌اي كه در مقابل هر يك از فضايل سه گانة اصلي، حكمت‌، عفت‌ و شجاعت و قرار مي‌گيرند، دو رذيلت ذكر كرده است. اين دو رذيلت، به مقتضاي قاعدة حدّ وسط، يكي افراطِ فضيلت مذكور است و ديگري تفريط آن. وي در ارائة رذايل اصلي، تقريباً از</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ابن‌مسكويه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پيروي كرده و از خود رأي بديعي ارايه نكرده‌ است. تنها تفاوت قابل ذكر آن است كه در بيان افراطِ حكمت،</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خبّ» را معرفي كرده است. به اين معنا كه آدمي حيله گر و مكار باشد،</w:t>
      </w:r>
      <w:r w:rsidRPr="004D4203">
        <w:rPr>
          <w:rFonts w:ascii="Cambria" w:eastAsia="Times New Roman" w:hAnsi="Cambria" w:cs="Cambria" w:hint="cs"/>
          <w:color w:val="000000"/>
          <w:sz w:val="24"/>
          <w:szCs w:val="24"/>
          <w:rtl/>
        </w:rPr>
        <w:t> </w:t>
      </w:r>
      <w:bookmarkStart w:id="32" w:name="_ednref32"/>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"_edn32"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32</w:t>
      </w:r>
      <w:r w:rsidRPr="004D4203">
        <w:rPr>
          <w:rFonts w:ascii="Times New Roman" w:eastAsia="Times New Roman" w:hAnsi="Times New Roman" w:cs="B Mitra"/>
          <w:color w:val="000000"/>
          <w:sz w:val="24"/>
          <w:szCs w:val="24"/>
        </w:rPr>
        <w:fldChar w:fldCharType="end"/>
      </w:r>
      <w:bookmarkEnd w:id="32"/>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اما ديگر متفكران مسلمان، برخي افراطِ حكمت را سَفَه (سبك سري) و برخي ديگر جُربُزه دانسته‌اند</w:t>
      </w:r>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i/>
          <w:iCs/>
          <w:color w:val="000000"/>
          <w:sz w:val="24"/>
          <w:szCs w:val="24"/>
          <w:rtl/>
        </w:rPr>
        <w:t>ابن مسكويه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سَفَه» را چنين تعريف كرده است؛ «به كار بردن نيروي انديشه در آن چيزهايي است كه سزاوار نيست و به شيوه‌اي كه سزاوار نيست</w:t>
      </w:r>
      <w:r w:rsidRPr="004D4203">
        <w:rPr>
          <w:rFonts w:ascii="Times New Roman" w:eastAsia="Times New Roman" w:hAnsi="Times New Roman" w:cs="B Mitra" w:hint="cs"/>
          <w:color w:val="000000"/>
          <w:sz w:val="24"/>
          <w:szCs w:val="24"/>
        </w:rPr>
        <w:t>.»</w:t>
      </w:r>
      <w:bookmarkStart w:id="33" w:name="_ednref33"/>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"_edn33"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33</w:t>
      </w:r>
      <w:r w:rsidRPr="004D4203">
        <w:rPr>
          <w:rFonts w:ascii="Times New Roman" w:eastAsia="Times New Roman" w:hAnsi="Times New Roman" w:cs="B Mitra"/>
          <w:color w:val="000000"/>
          <w:sz w:val="24"/>
          <w:szCs w:val="24"/>
        </w:rPr>
        <w:fldChar w:fldCharType="end"/>
      </w:r>
      <w:bookmarkEnd w:id="33"/>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i/>
          <w:iCs/>
          <w:color w:val="000000"/>
          <w:sz w:val="24"/>
          <w:szCs w:val="24"/>
          <w:rtl/>
        </w:rPr>
        <w:t>خواجه طوسي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آن را بدين صورت تعريف كرده است: «استعمال قوت فكري بود در آنچه واجب نبود يا زيادت بر آنچه مقدار واجب بود</w:t>
      </w:r>
      <w:proofErr w:type="gramStart"/>
      <w:r w:rsidRPr="004D4203">
        <w:rPr>
          <w:rFonts w:ascii="Times New Roman" w:eastAsia="Times New Roman" w:hAnsi="Times New Roman" w:cs="B Mitra" w:hint="cs"/>
          <w:color w:val="000000"/>
          <w:sz w:val="24"/>
          <w:szCs w:val="24"/>
        </w:rPr>
        <w:t>.»</w:t>
      </w:r>
      <w:bookmarkStart w:id="34" w:name="_ednref34"/>
      <w:proofErr w:type="gramEnd"/>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"_edn34"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34</w:t>
      </w:r>
      <w:r w:rsidRPr="004D4203">
        <w:rPr>
          <w:rFonts w:ascii="Times New Roman" w:eastAsia="Times New Roman" w:hAnsi="Times New Roman" w:cs="B Mitra"/>
          <w:color w:val="000000"/>
          <w:sz w:val="24"/>
          <w:szCs w:val="24"/>
        </w:rPr>
        <w:fldChar w:fldCharType="end"/>
      </w:r>
      <w:bookmarkEnd w:id="34"/>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سپس</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ابن مسكويه</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tl/>
        </w:rPr>
        <w:t>و</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خواجه طوسي</w:t>
      </w:r>
      <w:r w:rsidRPr="004D4203">
        <w:rPr>
          <w:rFonts w:ascii="Times New Roman" w:eastAsia="Times New Roman" w:hAnsi="Times New Roman" w:cs="B Mitra" w:hint="cs"/>
          <w:color w:val="000000"/>
          <w:sz w:val="24"/>
          <w:szCs w:val="24"/>
          <w:rtl/>
        </w:rPr>
        <w:t>، متذكر شده‌اند كه حكميان اين رذيلت را «جربزه» (خواجه آن را «گُربزي» ذكر كرده است) خوانده‌اند</w:t>
      </w:r>
      <w:r w:rsidRPr="004D4203">
        <w:rPr>
          <w:rFonts w:ascii="Times New Roman" w:eastAsia="Times New Roman" w:hAnsi="Times New Roman" w:cs="B Mitra" w:hint="cs"/>
          <w:color w:val="000000"/>
          <w:sz w:val="24"/>
          <w:szCs w:val="24"/>
        </w:rPr>
        <w:t>.</w:t>
      </w:r>
      <w:bookmarkStart w:id="35" w:name="_ednref35"/>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"_edn35"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35</w:t>
      </w:r>
      <w:r w:rsidRPr="004D4203">
        <w:rPr>
          <w:rFonts w:ascii="Times New Roman" w:eastAsia="Times New Roman" w:hAnsi="Times New Roman" w:cs="B Mitra"/>
          <w:color w:val="000000"/>
          <w:sz w:val="24"/>
          <w:szCs w:val="24"/>
        </w:rPr>
        <w:fldChar w:fldCharType="end"/>
      </w:r>
      <w:bookmarkEnd w:id="35"/>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به نظر مي‌رسد، تفاوت‌هاي مذكور، هم در نام‌گذاري و هم در تعريف، قابل تحويل به يكديگر باشند. چنانچه اين امر ممكن نيز نباشد، تفاوت‌هاي مذكور از اهميت چنداني برخوردار نيست</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پاره‌اي از مسايل، دربارة رذايلِ اصلي اخلاقي در ضمن مباحث مربوط به فضايل بيان شد، از اين رو، از تكرار آنها خودداري مي‌كنيم</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D4203">
        <w:rPr>
          <w:rFonts w:ascii="Times New Roman" w:eastAsia="Times New Roman" w:hAnsi="Times New Roman" w:cs="B Titr" w:hint="cs"/>
          <w:b/>
          <w:bCs/>
          <w:color w:val="000000"/>
          <w:sz w:val="28"/>
          <w:szCs w:val="28"/>
          <w:rtl/>
        </w:rPr>
        <w:t>نتيجه گيري</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از آنچه گذشت به دست مي‌آيد كه غزالي حكمت را به معناي حكمت عملي دانسته است. به نظر مي‌رسد، انحصار حكمت، در حكمت عملي وجهي نداشته باشد. وي در ارائة معناي عفت و شجاعت از عموم متفكران ِ مسلمان فاصله نگرفته است. اما در بيان فضيلتِ عدالت به نكته‌اي تفطن يافته است كه به نظر مي‌‌رسد از اهميت زيادي برخوردار باشد، آن اين‌كه در مقابل فضيلت عدالت، دو رذيلت، جانب افراط و تفريط، متصور نيست و تنها يك رذيلت در مقابل آن قرار مي‌گيرد: «جور». و از خلط بزرگي كه به نظر مي‌‌رسد، از ابن مسكويه آغاز شده است، يعني خلط عدالت به معناي روان‌شناختي آن با عدالت به معناي جامعه شناختي آن، به دور مانده است</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4D4203">
        <w:rPr>
          <w:rFonts w:ascii="Times New Roman" w:eastAsia="Times New Roman" w:hAnsi="Times New Roman" w:cs="B Titr" w:hint="cs"/>
          <w:b/>
          <w:bCs/>
          <w:color w:val="000000"/>
          <w:sz w:val="28"/>
          <w:szCs w:val="28"/>
          <w:rtl/>
        </w:rPr>
        <w:t>منابع</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lastRenderedPageBreak/>
        <w:t>ابن سينا،</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رساله الأخلاق</w:t>
      </w:r>
      <w:r w:rsidRPr="004D4203">
        <w:rPr>
          <w:rFonts w:ascii="Times New Roman" w:eastAsia="Times New Roman" w:hAnsi="Times New Roman" w:cs="B Mitra" w:hint="cs"/>
          <w:color w:val="000000"/>
          <w:sz w:val="24"/>
          <w:szCs w:val="24"/>
          <w:rtl/>
        </w:rPr>
        <w:t>، نسخه خطي 82، كتابخانه مجلس شوراي اسلامي</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ابن‌مسكويه رازي،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تهذيب الاخلاق</w:t>
      </w:r>
      <w:r w:rsidRPr="004D4203">
        <w:rPr>
          <w:rFonts w:ascii="Times New Roman" w:eastAsia="Times New Roman" w:hAnsi="Times New Roman" w:cs="B Mitra" w:hint="cs"/>
          <w:color w:val="000000"/>
          <w:sz w:val="24"/>
          <w:szCs w:val="24"/>
          <w:rtl/>
        </w:rPr>
        <w:t>، ترجمة علي‌اصغر حلبي، تهران، اساطير، 1381ش</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ايجي، عضدالدين،</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رساله في الاخلاق</w:t>
      </w:r>
      <w:r w:rsidRPr="004D4203">
        <w:rPr>
          <w:rFonts w:ascii="Times New Roman" w:eastAsia="Times New Roman" w:hAnsi="Times New Roman" w:cs="B Mitra" w:hint="cs"/>
          <w:color w:val="000000"/>
          <w:sz w:val="24"/>
          <w:szCs w:val="24"/>
          <w:rtl/>
        </w:rPr>
        <w:t>، نسخة خطي كتابخانة مجلس شوراي اسلامي، شمارة 4/ 3315 (مجموعه)، 2006 م</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دواني، جلال‌الدين،</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جلالي</w:t>
      </w:r>
      <w:r w:rsidRPr="004D4203">
        <w:rPr>
          <w:rFonts w:ascii="Times New Roman" w:eastAsia="Times New Roman" w:hAnsi="Times New Roman" w:cs="B Mitra" w:hint="cs"/>
          <w:color w:val="000000"/>
          <w:sz w:val="24"/>
          <w:szCs w:val="24"/>
          <w:rtl/>
        </w:rPr>
        <w:t>، با حواشي مولانا هادي علي، ج 7، طبع منشي نول كشور، لكنهو، 1883</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طوسي، خواجه نصيرالدين،</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ناصري</w:t>
      </w:r>
      <w:r w:rsidRPr="004D4203">
        <w:rPr>
          <w:rFonts w:ascii="Times New Roman" w:eastAsia="Times New Roman" w:hAnsi="Times New Roman" w:cs="B Mitra" w:hint="cs"/>
          <w:color w:val="000000"/>
          <w:sz w:val="24"/>
          <w:szCs w:val="24"/>
          <w:rtl/>
        </w:rPr>
        <w:t>، تصحيح مجتبي مينوي ـ عليرضا حيدري، ج 6، تهران، خوارزمي، 1387ش</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غزالي، ابوحامد،</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ميزان العمل</w:t>
      </w:r>
      <w:r w:rsidRPr="004D4203">
        <w:rPr>
          <w:rFonts w:ascii="Times New Roman" w:eastAsia="Times New Roman" w:hAnsi="Times New Roman" w:cs="B Mitra" w:hint="cs"/>
          <w:color w:val="000000"/>
          <w:sz w:val="24"/>
          <w:szCs w:val="24"/>
          <w:rtl/>
        </w:rPr>
        <w:t>، قدّم له و علّق عليه علي بوملحم، دار و مكتبة الهلال، بيروت، 2001م</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فاني كشميري، محسن،</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عالم آرا (اخلاق محسني</w:t>
      </w:r>
      <w:r w:rsidRPr="004D4203">
        <w:rPr>
          <w:rFonts w:ascii="Times New Roman" w:eastAsia="Times New Roman" w:hAnsi="Times New Roman" w:cs="B Mitra" w:hint="cs"/>
          <w:b/>
          <w:bCs/>
          <w:i/>
          <w:iCs/>
          <w:color w:val="000000"/>
          <w:sz w:val="24"/>
          <w:szCs w:val="24"/>
        </w:rPr>
        <w:t>)</w:t>
      </w:r>
      <w:r w:rsidRPr="004D4203">
        <w:rPr>
          <w:rFonts w:ascii="Times New Roman" w:eastAsia="Times New Roman" w:hAnsi="Times New Roman" w:cs="B Mitra" w:hint="cs"/>
          <w:color w:val="000000"/>
          <w:sz w:val="24"/>
          <w:szCs w:val="24"/>
          <w:rtl/>
        </w:rPr>
        <w:t>، تصحيح و پيشگفتار خ ـ جاويدي، مركز تحقيقات فارسي ايران و پاكستان، اسلام آباد، 1361ش</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النراقي، محمدمهدي،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جامع السعادات</w:t>
      </w:r>
      <w:r w:rsidRPr="004D4203">
        <w:rPr>
          <w:rFonts w:ascii="Times New Roman" w:eastAsia="Times New Roman" w:hAnsi="Times New Roman" w:cs="B Mitra" w:hint="cs"/>
          <w:color w:val="000000"/>
          <w:sz w:val="24"/>
          <w:szCs w:val="24"/>
          <w:rtl/>
        </w:rPr>
        <w:t>، ج7، قم، اسماعيليان، 1379ش</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proofErr w:type="gramStart"/>
      <w:r w:rsidRPr="004D4203">
        <w:rPr>
          <w:rFonts w:ascii="Times New Roman" w:eastAsia="Times New Roman" w:hAnsi="Times New Roman" w:cs="B Mitra" w:hint="cs"/>
          <w:color w:val="000000"/>
          <w:sz w:val="24"/>
          <w:szCs w:val="24"/>
        </w:rPr>
        <w:t>Bunnin</w:t>
      </w:r>
      <w:proofErr w:type="spellEnd"/>
      <w:r w:rsidRPr="004D4203">
        <w:rPr>
          <w:rFonts w:ascii="Times New Roman" w:eastAsia="Times New Roman" w:hAnsi="Times New Roman" w:cs="B Mitra" w:hint="cs"/>
          <w:color w:val="000000"/>
          <w:sz w:val="24"/>
          <w:szCs w:val="24"/>
        </w:rPr>
        <w:t xml:space="preserve"> ,</w:t>
      </w:r>
      <w:proofErr w:type="gramEnd"/>
      <w:r w:rsidRPr="004D4203">
        <w:rPr>
          <w:rFonts w:ascii="Times New Roman" w:eastAsia="Times New Roman" w:hAnsi="Times New Roman" w:cs="B Mitra" w:hint="cs"/>
          <w:color w:val="000000"/>
          <w:sz w:val="24"/>
          <w:szCs w:val="24"/>
        </w:rPr>
        <w:t xml:space="preserve"> Nicholas &amp; Yu , </w:t>
      </w:r>
      <w:proofErr w:type="spellStart"/>
      <w:r w:rsidRPr="004D4203">
        <w:rPr>
          <w:rFonts w:ascii="Times New Roman" w:eastAsia="Times New Roman" w:hAnsi="Times New Roman" w:cs="B Mitra" w:hint="cs"/>
          <w:color w:val="000000"/>
          <w:sz w:val="24"/>
          <w:szCs w:val="24"/>
        </w:rPr>
        <w:t>Jiluan</w:t>
      </w:r>
      <w:proofErr w:type="spellEnd"/>
      <w:r w:rsidRPr="004D4203">
        <w:rPr>
          <w:rFonts w:ascii="Times New Roman" w:eastAsia="Times New Roman" w:hAnsi="Times New Roman" w:cs="B Mitra" w:hint="cs"/>
          <w:color w:val="000000"/>
          <w:sz w:val="24"/>
          <w:szCs w:val="24"/>
        </w:rPr>
        <w:t xml:space="preserve"> , The Blackwell Dictionary Of Western Philosophy, Blackwell , 2004, p 229.</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proofErr w:type="gramStart"/>
      <w:r w:rsidRPr="004D4203">
        <w:rPr>
          <w:rFonts w:ascii="Times New Roman" w:eastAsia="Times New Roman" w:hAnsi="Times New Roman" w:cs="B Mitra" w:hint="cs"/>
          <w:color w:val="000000"/>
          <w:sz w:val="24"/>
          <w:szCs w:val="24"/>
        </w:rPr>
        <w:t>Hooft</w:t>
      </w:r>
      <w:proofErr w:type="spellEnd"/>
      <w:r w:rsidRPr="004D4203">
        <w:rPr>
          <w:rFonts w:ascii="Times New Roman" w:eastAsia="Times New Roman" w:hAnsi="Times New Roman" w:cs="B Mitra" w:hint="cs"/>
          <w:color w:val="000000"/>
          <w:sz w:val="24"/>
          <w:szCs w:val="24"/>
        </w:rPr>
        <w:t xml:space="preserve"> ,</w:t>
      </w:r>
      <w:proofErr w:type="gramEnd"/>
      <w:r w:rsidRPr="004D4203">
        <w:rPr>
          <w:rFonts w:ascii="Times New Roman" w:eastAsia="Times New Roman" w:hAnsi="Times New Roman" w:cs="B Mitra" w:hint="cs"/>
          <w:color w:val="000000"/>
          <w:sz w:val="24"/>
          <w:szCs w:val="24"/>
        </w:rPr>
        <w:t xml:space="preserve"> Stan Van , Understanding Virtue Ethics , Acumen , 2006.</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proofErr w:type="gramStart"/>
      <w:r w:rsidRPr="004D4203">
        <w:rPr>
          <w:rFonts w:ascii="Times New Roman" w:eastAsia="Times New Roman" w:hAnsi="Times New Roman" w:cs="B Mitra" w:hint="cs"/>
          <w:color w:val="000000"/>
          <w:sz w:val="24"/>
          <w:szCs w:val="24"/>
        </w:rPr>
        <w:t>Hursthouse</w:t>
      </w:r>
      <w:proofErr w:type="spellEnd"/>
      <w:r w:rsidRPr="004D4203">
        <w:rPr>
          <w:rFonts w:ascii="Times New Roman" w:eastAsia="Times New Roman" w:hAnsi="Times New Roman" w:cs="B Mitra" w:hint="cs"/>
          <w:color w:val="000000"/>
          <w:sz w:val="24"/>
          <w:szCs w:val="24"/>
        </w:rPr>
        <w:t xml:space="preserve"> ,</w:t>
      </w:r>
      <w:proofErr w:type="gramEnd"/>
      <w:r w:rsidRPr="004D4203">
        <w:rPr>
          <w:rFonts w:ascii="Times New Roman" w:eastAsia="Times New Roman" w:hAnsi="Times New Roman" w:cs="B Mitra" w:hint="cs"/>
          <w:color w:val="000000"/>
          <w:sz w:val="24"/>
          <w:szCs w:val="24"/>
        </w:rPr>
        <w:t xml:space="preserve"> Rosalind , On Virtue Ethics , Oxford , 2002</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gramStart"/>
      <w:r w:rsidRPr="004D4203">
        <w:rPr>
          <w:rFonts w:ascii="Times New Roman" w:eastAsia="Times New Roman" w:hAnsi="Times New Roman" w:cs="B Mitra" w:hint="cs"/>
          <w:color w:val="000000"/>
          <w:sz w:val="24"/>
          <w:szCs w:val="24"/>
        </w:rPr>
        <w:t>Williams ,</w:t>
      </w:r>
      <w:proofErr w:type="gramEnd"/>
      <w:r w:rsidRPr="004D4203">
        <w:rPr>
          <w:rFonts w:ascii="Times New Roman" w:eastAsia="Times New Roman" w:hAnsi="Times New Roman" w:cs="B Mitra" w:hint="cs"/>
          <w:color w:val="000000"/>
          <w:sz w:val="24"/>
          <w:szCs w:val="24"/>
        </w:rPr>
        <w:t xml:space="preserve"> Bernard , Ethics And The limits of philosophy , Routledge.</w:t>
      </w:r>
    </w:p>
    <w:p w:rsidR="004D4203" w:rsidRPr="004D4203" w:rsidRDefault="00CB582A" w:rsidP="004D4203">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5" style="width:0;height:.75pt" o:hralign="right" o:hrstd="t" o:hr="t" fillcolor="#a0a0a0" stroked="f"/>
        </w:pict>
      </w:r>
    </w:p>
    <w:bookmarkStart w:id="36" w:name="_ftn1"/>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"_ftnref1"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w:t>
      </w:r>
      <w:r w:rsidRPr="004D4203">
        <w:rPr>
          <w:rFonts w:ascii="Times New Roman" w:eastAsia="Times New Roman" w:hAnsi="Times New Roman" w:cs="B Mitra"/>
          <w:color w:val="000000"/>
          <w:sz w:val="24"/>
          <w:szCs w:val="24"/>
        </w:rPr>
        <w:fldChar w:fldCharType="end"/>
      </w:r>
      <w:bookmarkEnd w:id="36"/>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استاديار گروه فلسفه دانشگاه زنجان</w:t>
      </w:r>
      <w:r w:rsidRPr="004D4203">
        <w:rPr>
          <w:rFonts w:ascii="Cambria" w:eastAsia="Times New Roman" w:hAnsi="Cambria" w:cs="Cambria" w:hint="cs"/>
          <w:color w:val="000000"/>
          <w:sz w:val="24"/>
          <w:szCs w:val="24"/>
          <w:rtl/>
        </w:rPr>
        <w:t> </w:t>
      </w:r>
      <w:hyperlink r:id="rId4" w:history="1">
        <w:r w:rsidRPr="004D4203">
          <w:rPr>
            <w:rFonts w:ascii="Times New Roman" w:eastAsia="Times New Roman" w:hAnsi="Times New Roman" w:cs="B Mitra" w:hint="cs"/>
            <w:color w:val="000080"/>
            <w:sz w:val="24"/>
            <w:szCs w:val="24"/>
            <w:u w:val="single"/>
          </w:rPr>
          <w:t>Jahed.mohsen@znu.ac.ir</w:t>
        </w:r>
      </w:hyperlink>
    </w:p>
    <w:bookmarkStart w:id="37" w:name="_ftn2"/>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"_ftnref2"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w:t>
      </w:r>
      <w:r w:rsidRPr="004D4203">
        <w:rPr>
          <w:rFonts w:ascii="Times New Roman" w:eastAsia="Times New Roman" w:hAnsi="Times New Roman" w:cs="B Mitra"/>
          <w:color w:val="000000"/>
          <w:sz w:val="24"/>
          <w:szCs w:val="24"/>
        </w:rPr>
        <w:fldChar w:fldCharType="end"/>
      </w:r>
      <w:bookmarkEnd w:id="37"/>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 xml:space="preserve">عضو هيأت علمي دانشگاه بين المللي امام </w:t>
      </w:r>
      <w:proofErr w:type="gramStart"/>
      <w:r w:rsidRPr="004D4203">
        <w:rPr>
          <w:rFonts w:ascii="Times New Roman" w:eastAsia="Times New Roman" w:hAnsi="Times New Roman" w:cs="B Mitra" w:hint="cs"/>
          <w:color w:val="000000"/>
          <w:sz w:val="24"/>
          <w:szCs w:val="24"/>
          <w:rtl/>
        </w:rPr>
        <w:t>خميني(</w:t>
      </w:r>
      <w:proofErr w:type="gramEnd"/>
      <w:r w:rsidRPr="004D4203">
        <w:rPr>
          <w:rFonts w:ascii="Times New Roman" w:eastAsia="Times New Roman" w:hAnsi="Times New Roman" w:cs="B Mitra" w:hint="cs"/>
          <w:color w:val="000000"/>
          <w:sz w:val="24"/>
          <w:szCs w:val="24"/>
          <w:rtl/>
        </w:rPr>
        <w:t>ره</w:t>
      </w:r>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b/>
          <w:bCs/>
          <w:color w:val="000000"/>
          <w:sz w:val="24"/>
          <w:szCs w:val="24"/>
        </w:rPr>
        <w:t> </w:t>
      </w:r>
      <w:r w:rsidRPr="004D4203">
        <w:rPr>
          <w:rFonts w:ascii="Times New Roman" w:eastAsia="Times New Roman" w:hAnsi="Times New Roman" w:cs="B Mitra" w:hint="cs"/>
          <w:b/>
          <w:bCs/>
          <w:color w:val="000000"/>
          <w:sz w:val="24"/>
          <w:szCs w:val="24"/>
          <w:rtl/>
        </w:rPr>
        <w:t>دريافت</w:t>
      </w:r>
      <w:r w:rsidRPr="004D4203">
        <w:rPr>
          <w:rFonts w:ascii="Times New Roman" w:eastAsia="Times New Roman" w:hAnsi="Times New Roman" w:cs="B Mitra" w:hint="cs"/>
          <w:b/>
          <w:bCs/>
          <w:color w:val="000000"/>
          <w:sz w:val="24"/>
          <w:szCs w:val="24"/>
        </w:rPr>
        <w:t>:</w:t>
      </w:r>
      <w:r w:rsidRPr="004D4203">
        <w:rPr>
          <w:rFonts w:ascii="Times New Roman" w:eastAsia="Times New Roman" w:hAnsi="Times New Roman" w:cs="B Mitra" w:hint="cs"/>
          <w:color w:val="000000"/>
          <w:sz w:val="24"/>
          <w:szCs w:val="24"/>
        </w:rPr>
        <w:t> 16/10/1389 </w:t>
      </w:r>
      <w:r w:rsidRPr="004D4203">
        <w:rPr>
          <w:rFonts w:ascii="Times New Roman" w:eastAsia="Times New Roman" w:hAnsi="Times New Roman" w:cs="B Mitra" w:hint="cs"/>
          <w:b/>
          <w:bCs/>
          <w:color w:val="000000"/>
          <w:sz w:val="24"/>
          <w:szCs w:val="24"/>
          <w:rtl/>
        </w:rPr>
        <w:t>پذيرش</w:t>
      </w:r>
      <w:r w:rsidRPr="004D4203">
        <w:rPr>
          <w:rFonts w:ascii="Times New Roman" w:eastAsia="Times New Roman" w:hAnsi="Times New Roman" w:cs="B Mitra" w:hint="cs"/>
          <w:b/>
          <w:bCs/>
          <w:color w:val="000000"/>
          <w:sz w:val="24"/>
          <w:szCs w:val="24"/>
        </w:rPr>
        <w:t>:</w:t>
      </w:r>
      <w:r w:rsidRPr="004D4203">
        <w:rPr>
          <w:rFonts w:ascii="Times New Roman" w:eastAsia="Times New Roman" w:hAnsi="Times New Roman" w:cs="B Mitra" w:hint="cs"/>
          <w:color w:val="000000"/>
          <w:sz w:val="24"/>
          <w:szCs w:val="24"/>
        </w:rPr>
        <w:t> 30/01/1390</w:t>
      </w:r>
    </w:p>
    <w:p w:rsidR="004D4203" w:rsidRPr="004D4203" w:rsidRDefault="00CB582A" w:rsidP="004D4203">
      <w:pPr>
        <w:shd w:val="clear" w:color="auto" w:fill="FFFFFF"/>
        <w:spacing w:after="0" w:line="240" w:lineRule="auto"/>
        <w:rPr>
          <w:rFonts w:ascii="Times New Roman" w:eastAsia="Times New Roman" w:hAnsi="Times New Roman" w:cs="B Mitra"/>
          <w:color w:val="000000"/>
          <w:sz w:val="24"/>
          <w:szCs w:val="24"/>
        </w:rPr>
      </w:pPr>
      <w:r>
        <w:rPr>
          <w:rFonts w:ascii="Times New Roman" w:eastAsia="Times New Roman" w:hAnsi="Times New Roman" w:cs="B Mitra"/>
          <w:color w:val="000000"/>
          <w:sz w:val="24"/>
          <w:szCs w:val="24"/>
        </w:rPr>
        <w:pict>
          <v:rect id="_x0000_i1026" style="width:0;height:.75pt" o:hralign="right" o:hrstd="t" o:hr="t" fillcolor="#a0a0a0" stroked="f"/>
        </w:pict>
      </w:r>
    </w:p>
    <w:bookmarkStart w:id="38" w:name="_edn1"/>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w:t>
      </w:r>
      <w:r w:rsidRPr="004D4203">
        <w:rPr>
          <w:rFonts w:ascii="Times New Roman" w:eastAsia="Times New Roman" w:hAnsi="Times New Roman" w:cs="B Mitra"/>
          <w:color w:val="000000"/>
          <w:sz w:val="24"/>
          <w:szCs w:val="24"/>
        </w:rPr>
        <w:fldChar w:fldCharType="end"/>
      </w:r>
      <w:bookmarkEnd w:id="38"/>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ابن‌مسکويه رازي،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تهذيب الاخلاق</w:t>
      </w:r>
      <w:r w:rsidRPr="004D4203">
        <w:rPr>
          <w:rFonts w:ascii="Times New Roman" w:eastAsia="Times New Roman" w:hAnsi="Times New Roman" w:cs="B Mitra" w:hint="cs"/>
          <w:color w:val="000000"/>
          <w:sz w:val="24"/>
          <w:szCs w:val="24"/>
          <w:rtl/>
        </w:rPr>
        <w:t>، ص 66 - 77؛ نصير الدين طوسي،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ناصري</w:t>
      </w:r>
      <w:r w:rsidRPr="004D4203">
        <w:rPr>
          <w:rFonts w:ascii="Times New Roman" w:eastAsia="Times New Roman" w:hAnsi="Times New Roman" w:cs="B Mitra" w:hint="cs"/>
          <w:color w:val="000000"/>
          <w:sz w:val="24"/>
          <w:szCs w:val="24"/>
          <w:rtl/>
        </w:rPr>
        <w:t>، ص 108 - 117</w:t>
      </w:r>
      <w:r w:rsidRPr="004D4203">
        <w:rPr>
          <w:rFonts w:ascii="Times New Roman" w:eastAsia="Times New Roman" w:hAnsi="Times New Roman" w:cs="B Mitra" w:hint="cs"/>
          <w:color w:val="000000"/>
          <w:sz w:val="24"/>
          <w:szCs w:val="24"/>
        </w:rPr>
        <w:t>.</w:t>
      </w:r>
    </w:p>
    <w:bookmarkStart w:id="39" w:name="_edn2"/>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w:t>
      </w:r>
      <w:r w:rsidRPr="004D4203">
        <w:rPr>
          <w:rFonts w:ascii="Times New Roman" w:eastAsia="Times New Roman" w:hAnsi="Times New Roman" w:cs="B Mitra"/>
          <w:color w:val="000000"/>
          <w:sz w:val="24"/>
          <w:szCs w:val="24"/>
        </w:rPr>
        <w:fldChar w:fldCharType="end"/>
      </w:r>
      <w:bookmarkEnd w:id="39"/>
      <w:r w:rsidRPr="004D4203">
        <w:rPr>
          <w:rFonts w:ascii="Times New Roman" w:eastAsia="Times New Roman" w:hAnsi="Times New Roman" w:cs="B Mitra" w:hint="cs"/>
          <w:color w:val="000000"/>
          <w:sz w:val="24"/>
          <w:szCs w:val="24"/>
        </w:rPr>
        <w:t>. Modern moral philosophy</w:t>
      </w:r>
    </w:p>
    <w:bookmarkStart w:id="40" w:name="_edn3"/>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"_ednref3"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w:t>
      </w:r>
      <w:r w:rsidRPr="004D4203">
        <w:rPr>
          <w:rFonts w:ascii="Times New Roman" w:eastAsia="Times New Roman" w:hAnsi="Times New Roman" w:cs="B Mitra"/>
          <w:color w:val="000000"/>
          <w:sz w:val="24"/>
          <w:szCs w:val="24"/>
        </w:rPr>
        <w:fldChar w:fldCharType="end"/>
      </w:r>
      <w:bookmarkEnd w:id="40"/>
      <w:r w:rsidRPr="004D4203">
        <w:rPr>
          <w:rFonts w:ascii="Times New Roman" w:eastAsia="Times New Roman" w:hAnsi="Times New Roman" w:cs="B Mitra" w:hint="cs"/>
          <w:color w:val="000000"/>
          <w:sz w:val="24"/>
          <w:szCs w:val="24"/>
        </w:rPr>
        <w:t>. Utilitarianism</w:t>
      </w:r>
    </w:p>
    <w:bookmarkStart w:id="41" w:name="_edn4"/>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"_ednref4"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4</w:t>
      </w:r>
      <w:r w:rsidRPr="004D4203">
        <w:rPr>
          <w:rFonts w:ascii="Times New Roman" w:eastAsia="Times New Roman" w:hAnsi="Times New Roman" w:cs="B Mitra"/>
          <w:color w:val="000000"/>
          <w:sz w:val="24"/>
          <w:szCs w:val="24"/>
        </w:rPr>
        <w:fldChar w:fldCharType="end"/>
      </w:r>
      <w:bookmarkEnd w:id="41"/>
      <w:r w:rsidRPr="004D4203">
        <w:rPr>
          <w:rFonts w:ascii="Times New Roman" w:eastAsia="Times New Roman" w:hAnsi="Times New Roman" w:cs="B Mitra" w:hint="cs"/>
          <w:color w:val="000000"/>
          <w:sz w:val="24"/>
          <w:szCs w:val="24"/>
        </w:rPr>
        <w:t>. Deontological ethics.</w:t>
      </w:r>
    </w:p>
    <w:bookmarkStart w:id="42" w:name="_edn5"/>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"_ednref5"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5</w:t>
      </w:r>
      <w:r w:rsidRPr="004D4203">
        <w:rPr>
          <w:rFonts w:ascii="Times New Roman" w:eastAsia="Times New Roman" w:hAnsi="Times New Roman" w:cs="B Mitra"/>
          <w:color w:val="000000"/>
          <w:sz w:val="24"/>
          <w:szCs w:val="24"/>
        </w:rPr>
        <w:fldChar w:fldCharType="end"/>
      </w:r>
      <w:bookmarkEnd w:id="42"/>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از جمله ر.ك</w:t>
      </w:r>
      <w:r w:rsidRPr="004D4203">
        <w:rPr>
          <w:rFonts w:ascii="Times New Roman" w:eastAsia="Times New Roman" w:hAnsi="Times New Roman" w:cs="B Mitra" w:hint="cs"/>
          <w:color w:val="000000"/>
          <w:sz w:val="24"/>
          <w:szCs w:val="24"/>
        </w:rPr>
        <w:t xml:space="preserve">: - </w:t>
      </w:r>
      <w:proofErr w:type="spellStart"/>
      <w:r w:rsidRPr="004D4203">
        <w:rPr>
          <w:rFonts w:ascii="Times New Roman" w:eastAsia="Times New Roman" w:hAnsi="Times New Roman" w:cs="B Mitra" w:hint="cs"/>
          <w:color w:val="000000"/>
          <w:sz w:val="24"/>
          <w:szCs w:val="24"/>
        </w:rPr>
        <w:t>Hooft</w:t>
      </w:r>
      <w:proofErr w:type="spellEnd"/>
      <w:r w:rsidRPr="004D4203">
        <w:rPr>
          <w:rFonts w:ascii="Times New Roman" w:eastAsia="Times New Roman" w:hAnsi="Times New Roman" w:cs="B Mitra" w:hint="cs"/>
          <w:color w:val="000000"/>
          <w:sz w:val="24"/>
          <w:szCs w:val="24"/>
        </w:rPr>
        <w:t xml:space="preserve"> , Stan Van , Understanding virtue ethics , pp 7- 48.</w:t>
      </w:r>
    </w:p>
    <w:bookmarkStart w:id="43" w:name="_edn6"/>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lastRenderedPageBreak/>
        <w:fldChar w:fldCharType="begin"/>
      </w:r>
      <w:r w:rsidRPr="004D4203">
        <w:rPr>
          <w:rFonts w:ascii="Times New Roman" w:eastAsia="Times New Roman" w:hAnsi="Times New Roman" w:cs="B Mitra"/>
          <w:color w:val="000000"/>
          <w:sz w:val="24"/>
          <w:szCs w:val="24"/>
        </w:rPr>
        <w:instrText xml:space="preserve"> HYPERLINK "http://marefateakhlagi.nashriyat.ir/node/68" \l "_ednref6"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6</w:t>
      </w:r>
      <w:r w:rsidRPr="004D4203">
        <w:rPr>
          <w:rFonts w:ascii="Times New Roman" w:eastAsia="Times New Roman" w:hAnsi="Times New Roman" w:cs="B Mitra"/>
          <w:color w:val="000000"/>
          <w:sz w:val="24"/>
          <w:szCs w:val="24"/>
        </w:rPr>
        <w:fldChar w:fldCharType="end"/>
      </w:r>
      <w:bookmarkEnd w:id="43"/>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از جمله ر.ك: جلال الدين دواني،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جلالي</w:t>
      </w:r>
      <w:r w:rsidRPr="004D4203">
        <w:rPr>
          <w:rFonts w:ascii="Times New Roman" w:eastAsia="Times New Roman" w:hAnsi="Times New Roman" w:cs="B Mitra" w:hint="cs"/>
          <w:color w:val="000000"/>
          <w:sz w:val="24"/>
          <w:szCs w:val="24"/>
          <w:rtl/>
        </w:rPr>
        <w:t xml:space="preserve">، ص 20 </w:t>
      </w:r>
      <w:r w:rsidRPr="004D4203">
        <w:rPr>
          <w:rFonts w:ascii="Sakkal Majalla" w:eastAsia="Times New Roman" w:hAnsi="Sakkal Majalla" w:cs="Sakkal Majalla" w:hint="cs"/>
          <w:color w:val="000000"/>
          <w:sz w:val="24"/>
          <w:szCs w:val="24"/>
          <w:rtl/>
        </w:rPr>
        <w:t>–</w:t>
      </w:r>
      <w:r w:rsidRPr="004D4203">
        <w:rPr>
          <w:rFonts w:ascii="Times New Roman" w:eastAsia="Times New Roman" w:hAnsi="Times New Roman" w:cs="B Mitra" w:hint="cs"/>
          <w:color w:val="000000"/>
          <w:sz w:val="24"/>
          <w:szCs w:val="24"/>
          <w:rtl/>
        </w:rPr>
        <w:t xml:space="preserve"> 23؛ غياث الدين منصور دشتکي شيرازي،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منصوري</w:t>
      </w:r>
      <w:r w:rsidRPr="004D4203">
        <w:rPr>
          <w:rFonts w:ascii="Times New Roman" w:eastAsia="Times New Roman" w:hAnsi="Times New Roman" w:cs="B Mitra" w:hint="cs"/>
          <w:color w:val="000000"/>
          <w:sz w:val="24"/>
          <w:szCs w:val="24"/>
          <w:rtl/>
        </w:rPr>
        <w:t>، ص168 ـ 184</w:t>
      </w:r>
      <w:r w:rsidRPr="004D4203">
        <w:rPr>
          <w:rFonts w:ascii="Times New Roman" w:eastAsia="Times New Roman" w:hAnsi="Times New Roman" w:cs="B Mitra" w:hint="cs"/>
          <w:color w:val="000000"/>
          <w:sz w:val="24"/>
          <w:szCs w:val="24"/>
        </w:rPr>
        <w:t>.</w:t>
      </w:r>
    </w:p>
    <w:bookmarkStart w:id="44" w:name="_edn7"/>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"_ednref7"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7</w:t>
      </w:r>
      <w:r w:rsidRPr="004D4203">
        <w:rPr>
          <w:rFonts w:ascii="Times New Roman" w:eastAsia="Times New Roman" w:hAnsi="Times New Roman" w:cs="B Mitra"/>
          <w:color w:val="000000"/>
          <w:sz w:val="24"/>
          <w:szCs w:val="24"/>
        </w:rPr>
        <w:fldChar w:fldCharType="end"/>
      </w:r>
      <w:bookmarkEnd w:id="44"/>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از جمله ر.ك: ابو حامد 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ميزان العمل</w:t>
      </w:r>
      <w:r w:rsidRPr="004D4203">
        <w:rPr>
          <w:rFonts w:ascii="Times New Roman" w:eastAsia="Times New Roman" w:hAnsi="Times New Roman" w:cs="B Mitra" w:hint="cs"/>
          <w:color w:val="000000"/>
          <w:sz w:val="24"/>
          <w:szCs w:val="24"/>
          <w:rtl/>
        </w:rPr>
        <w:t xml:space="preserve">، ص 21 </w:t>
      </w:r>
      <w:r w:rsidRPr="004D4203">
        <w:rPr>
          <w:rFonts w:ascii="Sakkal Majalla" w:eastAsia="Times New Roman" w:hAnsi="Sakkal Majalla" w:cs="Sakkal Majalla" w:hint="cs"/>
          <w:color w:val="000000"/>
          <w:sz w:val="24"/>
          <w:szCs w:val="24"/>
          <w:rtl/>
        </w:rPr>
        <w:t>–</w:t>
      </w:r>
      <w:r w:rsidRPr="004D4203">
        <w:rPr>
          <w:rFonts w:ascii="Times New Roman" w:eastAsia="Times New Roman" w:hAnsi="Times New Roman" w:cs="B Mitra" w:hint="cs"/>
          <w:color w:val="000000"/>
          <w:sz w:val="24"/>
          <w:szCs w:val="24"/>
          <w:rtl/>
        </w:rPr>
        <w:t xml:space="preserve"> 30</w:t>
      </w:r>
      <w:r w:rsidRPr="004D4203">
        <w:rPr>
          <w:rFonts w:ascii="Times New Roman" w:eastAsia="Times New Roman" w:hAnsi="Times New Roman" w:cs="B Mitra" w:hint="cs"/>
          <w:color w:val="000000"/>
          <w:sz w:val="24"/>
          <w:szCs w:val="24"/>
        </w:rPr>
        <w:t>.</w:t>
      </w:r>
    </w:p>
    <w:bookmarkStart w:id="45" w:name="_edn8"/>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"_ednref8"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8</w:t>
      </w:r>
      <w:r w:rsidRPr="004D4203">
        <w:rPr>
          <w:rFonts w:ascii="Times New Roman" w:eastAsia="Times New Roman" w:hAnsi="Times New Roman" w:cs="B Mitra"/>
          <w:color w:val="000000"/>
          <w:sz w:val="24"/>
          <w:szCs w:val="24"/>
        </w:rPr>
        <w:fldChar w:fldCharType="end"/>
      </w:r>
      <w:bookmarkEnd w:id="45"/>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مراد از اخلاق فضيلت باستان همان رويکردي است که در يونان و روم در آثار افلاطون و ارسطو و ديگر متفکران اين دوره جريان داشت. و منظور از اخلاق فضيلت جديد رويکردي است که با مقاله‌ي خانم آنسکومب</w:t>
      </w:r>
      <w:r w:rsidRPr="004D4203">
        <w:rPr>
          <w:rFonts w:ascii="Times New Roman" w:eastAsia="Times New Roman" w:hAnsi="Times New Roman" w:cs="B Mitra" w:hint="cs"/>
          <w:color w:val="000000"/>
          <w:sz w:val="24"/>
          <w:szCs w:val="24"/>
        </w:rPr>
        <w:t xml:space="preserve"> ( </w:t>
      </w:r>
      <w:proofErr w:type="spellStart"/>
      <w:r w:rsidRPr="004D4203">
        <w:rPr>
          <w:rFonts w:ascii="Times New Roman" w:eastAsia="Times New Roman" w:hAnsi="Times New Roman" w:cs="B Mitra" w:hint="cs"/>
          <w:color w:val="000000"/>
          <w:sz w:val="24"/>
          <w:szCs w:val="24"/>
        </w:rPr>
        <w:t>Anscombe</w:t>
      </w:r>
      <w:proofErr w:type="spellEnd"/>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تجديد حيات شد و در آثار متفکراني همچون روزالين هارت هاوس</w:t>
      </w:r>
      <w:r w:rsidRPr="004D4203">
        <w:rPr>
          <w:rFonts w:ascii="Times New Roman" w:eastAsia="Times New Roman" w:hAnsi="Times New Roman" w:cs="B Mitra" w:hint="cs"/>
          <w:color w:val="000000"/>
          <w:sz w:val="24"/>
          <w:szCs w:val="24"/>
        </w:rPr>
        <w:t xml:space="preserve"> ( Rosalind </w:t>
      </w:r>
      <w:proofErr w:type="spellStart"/>
      <w:r w:rsidRPr="004D4203">
        <w:rPr>
          <w:rFonts w:ascii="Times New Roman" w:eastAsia="Times New Roman" w:hAnsi="Times New Roman" w:cs="B Mitra" w:hint="cs"/>
          <w:color w:val="000000"/>
          <w:sz w:val="24"/>
          <w:szCs w:val="24"/>
        </w:rPr>
        <w:t>Hursthouse</w:t>
      </w:r>
      <w:proofErr w:type="spellEnd"/>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 مايکل اسلات</w:t>
      </w:r>
      <w:r w:rsidRPr="004D4203">
        <w:rPr>
          <w:rFonts w:ascii="Times New Roman" w:eastAsia="Times New Roman" w:hAnsi="Times New Roman" w:cs="B Mitra" w:hint="cs"/>
          <w:color w:val="000000"/>
          <w:sz w:val="24"/>
          <w:szCs w:val="24"/>
        </w:rPr>
        <w:t xml:space="preserve"> ( Michael </w:t>
      </w:r>
      <w:proofErr w:type="spellStart"/>
      <w:r w:rsidRPr="004D4203">
        <w:rPr>
          <w:rFonts w:ascii="Times New Roman" w:eastAsia="Times New Roman" w:hAnsi="Times New Roman" w:cs="B Mitra" w:hint="cs"/>
          <w:color w:val="000000"/>
          <w:sz w:val="24"/>
          <w:szCs w:val="24"/>
        </w:rPr>
        <w:t>slote</w:t>
      </w:r>
      <w:proofErr w:type="spellEnd"/>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 جوليا درايور</w:t>
      </w:r>
      <w:r w:rsidRPr="004D4203">
        <w:rPr>
          <w:rFonts w:ascii="Times New Roman" w:eastAsia="Times New Roman" w:hAnsi="Times New Roman" w:cs="B Mitra" w:hint="cs"/>
          <w:color w:val="000000"/>
          <w:sz w:val="24"/>
          <w:szCs w:val="24"/>
        </w:rPr>
        <w:t xml:space="preserve"> (Julia Driver )</w:t>
      </w:r>
      <w:r w:rsidRPr="004D4203">
        <w:rPr>
          <w:rFonts w:ascii="Times New Roman" w:eastAsia="Times New Roman" w:hAnsi="Times New Roman" w:cs="B Mitra" w:hint="cs"/>
          <w:color w:val="000000"/>
          <w:sz w:val="24"/>
          <w:szCs w:val="24"/>
          <w:rtl/>
        </w:rPr>
        <w:t>، السدير مک اينتاير</w:t>
      </w:r>
      <w:r w:rsidRPr="004D4203">
        <w:rPr>
          <w:rFonts w:ascii="Times New Roman" w:eastAsia="Times New Roman" w:hAnsi="Times New Roman" w:cs="B Mitra" w:hint="cs"/>
          <w:color w:val="000000"/>
          <w:sz w:val="24"/>
          <w:szCs w:val="24"/>
        </w:rPr>
        <w:t xml:space="preserve"> (Alasdair </w:t>
      </w:r>
      <w:proofErr w:type="spellStart"/>
      <w:r w:rsidRPr="004D4203">
        <w:rPr>
          <w:rFonts w:ascii="Times New Roman" w:eastAsia="Times New Roman" w:hAnsi="Times New Roman" w:cs="B Mitra" w:hint="cs"/>
          <w:color w:val="000000"/>
          <w:sz w:val="24"/>
          <w:szCs w:val="24"/>
        </w:rPr>
        <w:t>MacIntyre</w:t>
      </w:r>
      <w:proofErr w:type="spellEnd"/>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 کريستين اسوانتن</w:t>
      </w:r>
      <w:r w:rsidRPr="004D4203">
        <w:rPr>
          <w:rFonts w:ascii="Times New Roman" w:eastAsia="Times New Roman" w:hAnsi="Times New Roman" w:cs="B Mitra" w:hint="cs"/>
          <w:color w:val="000000"/>
          <w:sz w:val="24"/>
          <w:szCs w:val="24"/>
        </w:rPr>
        <w:t xml:space="preserve"> (Christine </w:t>
      </w:r>
      <w:proofErr w:type="spellStart"/>
      <w:r w:rsidRPr="004D4203">
        <w:rPr>
          <w:rFonts w:ascii="Times New Roman" w:eastAsia="Times New Roman" w:hAnsi="Times New Roman" w:cs="B Mitra" w:hint="cs"/>
          <w:color w:val="000000"/>
          <w:sz w:val="24"/>
          <w:szCs w:val="24"/>
        </w:rPr>
        <w:t>swanton</w:t>
      </w:r>
      <w:proofErr w:type="spellEnd"/>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و فيليپا فوت</w:t>
      </w:r>
      <w:r w:rsidRPr="004D4203">
        <w:rPr>
          <w:rFonts w:ascii="Times New Roman" w:eastAsia="Times New Roman" w:hAnsi="Times New Roman" w:cs="B Mitra" w:hint="cs"/>
          <w:color w:val="000000"/>
          <w:sz w:val="24"/>
          <w:szCs w:val="24"/>
        </w:rPr>
        <w:t xml:space="preserve"> (Philippa Foot) </w:t>
      </w:r>
      <w:r w:rsidRPr="004D4203">
        <w:rPr>
          <w:rFonts w:ascii="Times New Roman" w:eastAsia="Times New Roman" w:hAnsi="Times New Roman" w:cs="B Mitra" w:hint="cs"/>
          <w:color w:val="000000"/>
          <w:sz w:val="24"/>
          <w:szCs w:val="24"/>
          <w:rtl/>
        </w:rPr>
        <w:t>بسط و توسعه يافت. گروهي از متفکران فوق ارسطويي‌اند و گروهي ديگر غير ارسطويي. به عنوان مثال مک اينتاير ارسطويي است، اسوانتن نيچه‌اي است و درايور تقريري از فضيلت گرايي ارايه کرده است که با نتيجه گرايي پيوندي وثيق دارد</w:t>
      </w:r>
      <w:r w:rsidRPr="004D4203">
        <w:rPr>
          <w:rFonts w:ascii="Times New Roman" w:eastAsia="Times New Roman" w:hAnsi="Times New Roman" w:cs="B Mitra" w:hint="cs"/>
          <w:color w:val="000000"/>
          <w:sz w:val="24"/>
          <w:szCs w:val="24"/>
        </w:rPr>
        <w:t>.</w:t>
      </w:r>
    </w:p>
    <w:bookmarkStart w:id="46" w:name="_edn9"/>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"_ednref9"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9</w:t>
      </w:r>
      <w:r w:rsidRPr="004D4203">
        <w:rPr>
          <w:rFonts w:ascii="Times New Roman" w:eastAsia="Times New Roman" w:hAnsi="Times New Roman" w:cs="B Mitra"/>
          <w:color w:val="000000"/>
          <w:sz w:val="24"/>
          <w:szCs w:val="24"/>
        </w:rPr>
        <w:fldChar w:fldCharType="end"/>
      </w:r>
      <w:bookmarkEnd w:id="46"/>
      <w:r w:rsidRPr="004D4203">
        <w:rPr>
          <w:rFonts w:ascii="Times New Roman" w:eastAsia="Times New Roman" w:hAnsi="Times New Roman" w:cs="B Mitra" w:hint="cs"/>
          <w:color w:val="000000"/>
          <w:sz w:val="24"/>
          <w:szCs w:val="24"/>
        </w:rPr>
        <w:t xml:space="preserve">. </w:t>
      </w:r>
      <w:proofErr w:type="spellStart"/>
      <w:proofErr w:type="gramStart"/>
      <w:r w:rsidRPr="004D4203">
        <w:rPr>
          <w:rFonts w:ascii="Times New Roman" w:eastAsia="Times New Roman" w:hAnsi="Times New Roman" w:cs="B Mitra" w:hint="cs"/>
          <w:color w:val="000000"/>
          <w:sz w:val="24"/>
          <w:szCs w:val="24"/>
        </w:rPr>
        <w:t>Hursthouse</w:t>
      </w:r>
      <w:proofErr w:type="spellEnd"/>
      <w:r w:rsidRPr="004D4203">
        <w:rPr>
          <w:rFonts w:ascii="Times New Roman" w:eastAsia="Times New Roman" w:hAnsi="Times New Roman" w:cs="B Mitra" w:hint="cs"/>
          <w:color w:val="000000"/>
          <w:sz w:val="24"/>
          <w:szCs w:val="24"/>
        </w:rPr>
        <w:t xml:space="preserve"> ,</w:t>
      </w:r>
      <w:proofErr w:type="gramEnd"/>
      <w:r w:rsidRPr="004D4203">
        <w:rPr>
          <w:rFonts w:ascii="Times New Roman" w:eastAsia="Times New Roman" w:hAnsi="Times New Roman" w:cs="B Mitra" w:hint="cs"/>
          <w:color w:val="000000"/>
          <w:sz w:val="24"/>
          <w:szCs w:val="24"/>
        </w:rPr>
        <w:t xml:space="preserve"> Rosalind , On Virtue Ethics , p. 33.</w:t>
      </w:r>
    </w:p>
    <w:bookmarkStart w:id="47" w:name="_edn10"/>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"_ednref10"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10</w:t>
      </w:r>
      <w:r w:rsidRPr="004D4203">
        <w:rPr>
          <w:rFonts w:ascii="Times New Roman" w:eastAsia="Times New Roman" w:hAnsi="Times New Roman" w:cs="B Mitra"/>
          <w:color w:val="000000"/>
          <w:sz w:val="24"/>
          <w:szCs w:val="24"/>
        </w:rPr>
        <w:fldChar w:fldCharType="end"/>
      </w:r>
      <w:bookmarkEnd w:id="47"/>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نصوصي بسيار در آموزه‌هاي اسلامي گواه اين حقيقت است از جمله: «آنان خداي را فراموش کردند و خداوند آنان را از ياد خودشان برد» (حشر: 19)، يا «از روح خود در آنان دميدم» (ص: 72</w:t>
      </w:r>
      <w:r w:rsidRPr="004D4203">
        <w:rPr>
          <w:rFonts w:ascii="Times New Roman" w:eastAsia="Times New Roman" w:hAnsi="Times New Roman" w:cs="B Mitra" w:hint="cs"/>
          <w:color w:val="000000"/>
          <w:sz w:val="24"/>
          <w:szCs w:val="24"/>
        </w:rPr>
        <w:t>).</w:t>
      </w:r>
    </w:p>
    <w:bookmarkStart w:id="48" w:name="_edn11"/>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11</w:t>
      </w:r>
      <w:r w:rsidRPr="004D4203">
        <w:rPr>
          <w:rFonts w:ascii="Times New Roman" w:eastAsia="Times New Roman" w:hAnsi="Times New Roman" w:cs="B Mitra"/>
          <w:color w:val="000000"/>
          <w:sz w:val="24"/>
          <w:szCs w:val="24"/>
        </w:rPr>
        <w:fldChar w:fldCharType="end"/>
      </w:r>
      <w:bookmarkEnd w:id="48"/>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ابو حامد غزالي</w:t>
      </w:r>
      <w:r w:rsidRPr="004D4203">
        <w:rPr>
          <w:rFonts w:ascii="Times New Roman" w:eastAsia="Times New Roman" w:hAnsi="Times New Roman" w:cs="B Mitra" w:hint="cs"/>
          <w:i/>
          <w:iCs/>
          <w:color w:val="000000"/>
          <w:sz w:val="24"/>
          <w:szCs w:val="24"/>
          <w:rtl/>
        </w:rPr>
        <w:t>،</w:t>
      </w:r>
      <w:r w:rsidRPr="004D4203">
        <w:rPr>
          <w:rFonts w:ascii="Cambria" w:eastAsia="Times New Roman" w:hAnsi="Cambria" w:cs="Cambria" w:hint="cs"/>
          <w:i/>
          <w:iCs/>
          <w:color w:val="000000"/>
          <w:sz w:val="24"/>
          <w:szCs w:val="24"/>
          <w:rtl/>
        </w:rPr>
        <w:t> </w:t>
      </w:r>
      <w:r w:rsidRPr="004D4203">
        <w:rPr>
          <w:rFonts w:ascii="Times New Roman" w:eastAsia="Times New Roman" w:hAnsi="Times New Roman" w:cs="B Mitra" w:hint="cs"/>
          <w:b/>
          <w:bCs/>
          <w:i/>
          <w:iCs/>
          <w:color w:val="000000"/>
          <w:sz w:val="24"/>
          <w:szCs w:val="24"/>
          <w:rtl/>
        </w:rPr>
        <w:t>ميزان العمل</w:t>
      </w:r>
      <w:r w:rsidRPr="004D4203">
        <w:rPr>
          <w:rFonts w:ascii="Times New Roman" w:eastAsia="Times New Roman" w:hAnsi="Times New Roman" w:cs="B Mitra" w:hint="cs"/>
          <w:color w:val="000000"/>
          <w:sz w:val="24"/>
          <w:szCs w:val="24"/>
          <w:rtl/>
        </w:rPr>
        <w:t>، ص 37-38</w:t>
      </w:r>
      <w:r w:rsidRPr="004D4203">
        <w:rPr>
          <w:rFonts w:ascii="Times New Roman" w:eastAsia="Times New Roman" w:hAnsi="Times New Roman" w:cs="B Mitra" w:hint="cs"/>
          <w:color w:val="000000"/>
          <w:sz w:val="24"/>
          <w:szCs w:val="24"/>
        </w:rPr>
        <w:t>.</w:t>
      </w:r>
    </w:p>
    <w:bookmarkStart w:id="49" w:name="_edn12"/>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12</w:t>
      </w:r>
      <w:r w:rsidRPr="004D4203">
        <w:rPr>
          <w:rFonts w:ascii="Times New Roman" w:eastAsia="Times New Roman" w:hAnsi="Times New Roman" w:cs="B Mitra"/>
          <w:color w:val="000000"/>
          <w:sz w:val="24"/>
          <w:szCs w:val="24"/>
        </w:rPr>
        <w:fldChar w:fldCharType="end"/>
      </w:r>
      <w:bookmarkEnd w:id="49"/>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همان، ص 99</w:t>
      </w:r>
      <w:r w:rsidRPr="004D4203">
        <w:rPr>
          <w:rFonts w:ascii="Times New Roman" w:eastAsia="Times New Roman" w:hAnsi="Times New Roman" w:cs="B Mitra" w:hint="cs"/>
          <w:color w:val="000000"/>
          <w:sz w:val="24"/>
          <w:szCs w:val="24"/>
        </w:rPr>
        <w:t>.</w:t>
      </w:r>
    </w:p>
    <w:bookmarkStart w:id="50" w:name="_edn13"/>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"_ednref13"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13</w:t>
      </w:r>
      <w:r w:rsidRPr="004D4203">
        <w:rPr>
          <w:rFonts w:ascii="Times New Roman" w:eastAsia="Times New Roman" w:hAnsi="Times New Roman" w:cs="B Mitra"/>
          <w:color w:val="000000"/>
          <w:sz w:val="24"/>
          <w:szCs w:val="24"/>
        </w:rPr>
        <w:fldChar w:fldCharType="end"/>
      </w:r>
      <w:bookmarkEnd w:id="50"/>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 xml:space="preserve">همان، ص 99 </w:t>
      </w:r>
      <w:r w:rsidRPr="004D4203">
        <w:rPr>
          <w:rFonts w:ascii="Sakkal Majalla" w:eastAsia="Times New Roman" w:hAnsi="Sakkal Majalla" w:cs="Sakkal Majalla" w:hint="cs"/>
          <w:color w:val="000000"/>
          <w:sz w:val="24"/>
          <w:szCs w:val="24"/>
          <w:rtl/>
        </w:rPr>
        <w:t>–</w:t>
      </w:r>
      <w:r w:rsidRPr="004D4203">
        <w:rPr>
          <w:rFonts w:ascii="Times New Roman" w:eastAsia="Times New Roman" w:hAnsi="Times New Roman" w:cs="B Mitra" w:hint="cs"/>
          <w:color w:val="000000"/>
          <w:sz w:val="24"/>
          <w:szCs w:val="24"/>
          <w:rtl/>
        </w:rPr>
        <w:t xml:space="preserve"> 100</w:t>
      </w:r>
      <w:r w:rsidRPr="004D4203">
        <w:rPr>
          <w:rFonts w:ascii="Times New Roman" w:eastAsia="Times New Roman" w:hAnsi="Times New Roman" w:cs="B Mitra" w:hint="cs"/>
          <w:color w:val="000000"/>
          <w:sz w:val="24"/>
          <w:szCs w:val="24"/>
        </w:rPr>
        <w:t>.</w:t>
      </w:r>
    </w:p>
    <w:bookmarkStart w:id="51" w:name="_edn14"/>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"_ednref14"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14</w:t>
      </w:r>
      <w:r w:rsidRPr="004D4203">
        <w:rPr>
          <w:rFonts w:ascii="Times New Roman" w:eastAsia="Times New Roman" w:hAnsi="Times New Roman" w:cs="B Mitra"/>
          <w:color w:val="000000"/>
          <w:sz w:val="24"/>
          <w:szCs w:val="24"/>
        </w:rPr>
        <w:fldChar w:fldCharType="end"/>
      </w:r>
      <w:bookmarkEnd w:id="51"/>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همان، 100</w:t>
      </w:r>
      <w:r w:rsidRPr="004D4203">
        <w:rPr>
          <w:rFonts w:ascii="Times New Roman" w:eastAsia="Times New Roman" w:hAnsi="Times New Roman" w:cs="B Mitra" w:hint="cs"/>
          <w:color w:val="000000"/>
          <w:sz w:val="24"/>
          <w:szCs w:val="24"/>
        </w:rPr>
        <w:t>.</w:t>
      </w:r>
    </w:p>
    <w:bookmarkStart w:id="52" w:name="_edn15"/>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"_ednref15"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15</w:t>
      </w:r>
      <w:r w:rsidRPr="004D4203">
        <w:rPr>
          <w:rFonts w:ascii="Times New Roman" w:eastAsia="Times New Roman" w:hAnsi="Times New Roman" w:cs="B Mitra"/>
          <w:color w:val="000000"/>
          <w:sz w:val="24"/>
          <w:szCs w:val="24"/>
        </w:rPr>
        <w:fldChar w:fldCharType="end"/>
      </w:r>
      <w:bookmarkEnd w:id="52"/>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همان، 107</w:t>
      </w:r>
      <w:r w:rsidRPr="004D4203">
        <w:rPr>
          <w:rFonts w:ascii="Times New Roman" w:eastAsia="Times New Roman" w:hAnsi="Times New Roman" w:cs="B Mitra" w:hint="cs"/>
          <w:color w:val="000000"/>
          <w:sz w:val="24"/>
          <w:szCs w:val="24"/>
        </w:rPr>
        <w:t>.</w:t>
      </w:r>
    </w:p>
    <w:bookmarkStart w:id="53" w:name="_edn16"/>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"_ednref16"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16</w:t>
      </w:r>
      <w:r w:rsidRPr="004D4203">
        <w:rPr>
          <w:rFonts w:ascii="Times New Roman" w:eastAsia="Times New Roman" w:hAnsi="Times New Roman" w:cs="B Mitra"/>
          <w:color w:val="000000"/>
          <w:sz w:val="24"/>
          <w:szCs w:val="24"/>
        </w:rPr>
        <w:fldChar w:fldCharType="end"/>
      </w:r>
      <w:bookmarkEnd w:id="53"/>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همان</w:t>
      </w:r>
      <w:r w:rsidRPr="004D4203">
        <w:rPr>
          <w:rFonts w:ascii="Times New Roman" w:eastAsia="Times New Roman" w:hAnsi="Times New Roman" w:cs="B Mitra" w:hint="cs"/>
          <w:color w:val="000000"/>
          <w:sz w:val="24"/>
          <w:szCs w:val="24"/>
        </w:rPr>
        <w:t>.</w:t>
      </w:r>
    </w:p>
    <w:bookmarkStart w:id="54" w:name="_edn17"/>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"_ednref17"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17</w:t>
      </w:r>
      <w:r w:rsidRPr="004D4203">
        <w:rPr>
          <w:rFonts w:ascii="Times New Roman" w:eastAsia="Times New Roman" w:hAnsi="Times New Roman" w:cs="B Mitra"/>
          <w:color w:val="000000"/>
          <w:sz w:val="24"/>
          <w:szCs w:val="24"/>
        </w:rPr>
        <w:fldChar w:fldCharType="end"/>
      </w:r>
      <w:bookmarkEnd w:id="54"/>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ابن مسکويه رازي،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تهذيب الاخلاق</w:t>
      </w:r>
      <w:r w:rsidRPr="004D4203">
        <w:rPr>
          <w:rFonts w:ascii="Times New Roman" w:eastAsia="Times New Roman" w:hAnsi="Times New Roman" w:cs="B Mitra" w:hint="cs"/>
          <w:color w:val="000000"/>
          <w:sz w:val="24"/>
          <w:szCs w:val="24"/>
          <w:rtl/>
        </w:rPr>
        <w:t>، ص 67</w:t>
      </w:r>
      <w:r w:rsidRPr="004D4203">
        <w:rPr>
          <w:rFonts w:ascii="Times New Roman" w:eastAsia="Times New Roman" w:hAnsi="Times New Roman" w:cs="B Mitra" w:hint="cs"/>
          <w:color w:val="000000"/>
          <w:sz w:val="24"/>
          <w:szCs w:val="24"/>
        </w:rPr>
        <w:t>.</w:t>
      </w:r>
    </w:p>
    <w:bookmarkStart w:id="55" w:name="_edn18"/>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"_ednref18"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18</w:t>
      </w:r>
      <w:r w:rsidRPr="004D4203">
        <w:rPr>
          <w:rFonts w:ascii="Times New Roman" w:eastAsia="Times New Roman" w:hAnsi="Times New Roman" w:cs="B Mitra"/>
          <w:color w:val="000000"/>
          <w:sz w:val="24"/>
          <w:szCs w:val="24"/>
        </w:rPr>
        <w:fldChar w:fldCharType="end"/>
      </w:r>
      <w:bookmarkEnd w:id="55"/>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همان، 68</w:t>
      </w:r>
      <w:r w:rsidRPr="004D4203">
        <w:rPr>
          <w:rFonts w:ascii="Times New Roman" w:eastAsia="Times New Roman" w:hAnsi="Times New Roman" w:cs="B Mitra" w:hint="cs"/>
          <w:color w:val="000000"/>
          <w:sz w:val="24"/>
          <w:szCs w:val="24"/>
        </w:rPr>
        <w:t>.</w:t>
      </w:r>
    </w:p>
    <w:bookmarkStart w:id="56" w:name="_edn19"/>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"_ednref19"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19</w:t>
      </w:r>
      <w:r w:rsidRPr="004D4203">
        <w:rPr>
          <w:rFonts w:ascii="Times New Roman" w:eastAsia="Times New Roman" w:hAnsi="Times New Roman" w:cs="B Mitra"/>
          <w:color w:val="000000"/>
          <w:sz w:val="24"/>
          <w:szCs w:val="24"/>
        </w:rPr>
        <w:fldChar w:fldCharType="end"/>
      </w:r>
      <w:bookmarkEnd w:id="56"/>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محمدمهدي النراقي،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جامع السعادات</w:t>
      </w:r>
      <w:r w:rsidRPr="004D4203">
        <w:rPr>
          <w:rFonts w:ascii="Times New Roman" w:eastAsia="Times New Roman" w:hAnsi="Times New Roman" w:cs="B Mitra" w:hint="cs"/>
          <w:color w:val="000000"/>
          <w:sz w:val="24"/>
          <w:szCs w:val="24"/>
          <w:rtl/>
        </w:rPr>
        <w:t>، ج1 ص 63</w:t>
      </w:r>
      <w:r w:rsidRPr="004D4203">
        <w:rPr>
          <w:rFonts w:ascii="Times New Roman" w:eastAsia="Times New Roman" w:hAnsi="Times New Roman" w:cs="B Mitra" w:hint="cs"/>
          <w:color w:val="000000"/>
          <w:sz w:val="24"/>
          <w:szCs w:val="24"/>
        </w:rPr>
        <w:t>.</w:t>
      </w:r>
    </w:p>
    <w:bookmarkStart w:id="57" w:name="_edn20"/>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"_ednref20"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20</w:t>
      </w:r>
      <w:r w:rsidRPr="004D4203">
        <w:rPr>
          <w:rFonts w:ascii="Times New Roman" w:eastAsia="Times New Roman" w:hAnsi="Times New Roman" w:cs="B Mitra"/>
          <w:color w:val="000000"/>
          <w:sz w:val="24"/>
          <w:szCs w:val="24"/>
        </w:rPr>
        <w:fldChar w:fldCharType="end"/>
      </w:r>
      <w:bookmarkEnd w:id="57"/>
      <w:r w:rsidRPr="004D4203">
        <w:rPr>
          <w:rFonts w:ascii="Times New Roman" w:eastAsia="Times New Roman" w:hAnsi="Times New Roman" w:cs="B Mitra" w:hint="cs"/>
          <w:color w:val="000000"/>
          <w:sz w:val="24"/>
          <w:szCs w:val="24"/>
        </w:rPr>
        <w:t>. Ethics of Belief‌</w:t>
      </w:r>
      <w:r w:rsidRPr="004D4203">
        <w:rPr>
          <w:rFonts w:ascii="Times New Roman" w:eastAsia="Times New Roman" w:hAnsi="Times New Roman" w:cs="B Mitra" w:hint="cs"/>
          <w:color w:val="000000"/>
          <w:sz w:val="24"/>
          <w:szCs w:val="24"/>
          <w:rtl/>
        </w:rPr>
        <w:t>، اين اصطلاح را اولين بار کليفورد</w:t>
      </w:r>
      <w:r w:rsidRPr="004D4203">
        <w:rPr>
          <w:rFonts w:ascii="Times New Roman" w:eastAsia="Times New Roman" w:hAnsi="Times New Roman" w:cs="B Mitra" w:hint="cs"/>
          <w:color w:val="000000"/>
          <w:sz w:val="24"/>
          <w:szCs w:val="24"/>
        </w:rPr>
        <w:t xml:space="preserve"> </w:t>
      </w:r>
      <w:proofErr w:type="gramStart"/>
      <w:r w:rsidRPr="004D4203">
        <w:rPr>
          <w:rFonts w:ascii="Times New Roman" w:eastAsia="Times New Roman" w:hAnsi="Times New Roman" w:cs="B Mitra" w:hint="cs"/>
          <w:color w:val="000000"/>
          <w:sz w:val="24"/>
          <w:szCs w:val="24"/>
        </w:rPr>
        <w:t>( W.K</w:t>
      </w:r>
      <w:proofErr w:type="gramEnd"/>
      <w:r w:rsidRPr="004D4203">
        <w:rPr>
          <w:rFonts w:ascii="Times New Roman" w:eastAsia="Times New Roman" w:hAnsi="Times New Roman" w:cs="B Mitra" w:hint="cs"/>
          <w:color w:val="000000"/>
          <w:sz w:val="24"/>
          <w:szCs w:val="24"/>
        </w:rPr>
        <w:t xml:space="preserve">. Clifford ) </w:t>
      </w:r>
      <w:r w:rsidRPr="004D4203">
        <w:rPr>
          <w:rFonts w:ascii="Times New Roman" w:eastAsia="Times New Roman" w:hAnsi="Times New Roman" w:cs="B Mitra" w:hint="cs"/>
          <w:color w:val="000000"/>
          <w:sz w:val="24"/>
          <w:szCs w:val="24"/>
          <w:rtl/>
        </w:rPr>
        <w:t>به کار برد و پرسيد: در چه شرايطي ما اخلاقا حق داريم به چيزي باور داشته باشيم؟ براي آگاهي بيشتر ر.ك</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proofErr w:type="spellStart"/>
      <w:proofErr w:type="gramStart"/>
      <w:r w:rsidRPr="004D4203">
        <w:rPr>
          <w:rFonts w:ascii="Times New Roman" w:eastAsia="Times New Roman" w:hAnsi="Times New Roman" w:cs="B Mitra" w:hint="cs"/>
          <w:color w:val="000000"/>
          <w:sz w:val="24"/>
          <w:szCs w:val="24"/>
        </w:rPr>
        <w:t>Bunnin</w:t>
      </w:r>
      <w:proofErr w:type="spellEnd"/>
      <w:r w:rsidRPr="004D4203">
        <w:rPr>
          <w:rFonts w:ascii="Times New Roman" w:eastAsia="Times New Roman" w:hAnsi="Times New Roman" w:cs="B Mitra" w:hint="cs"/>
          <w:color w:val="000000"/>
          <w:sz w:val="24"/>
          <w:szCs w:val="24"/>
        </w:rPr>
        <w:t xml:space="preserve"> ,</w:t>
      </w:r>
      <w:proofErr w:type="gramEnd"/>
      <w:r w:rsidRPr="004D4203">
        <w:rPr>
          <w:rFonts w:ascii="Times New Roman" w:eastAsia="Times New Roman" w:hAnsi="Times New Roman" w:cs="B Mitra" w:hint="cs"/>
          <w:color w:val="000000"/>
          <w:sz w:val="24"/>
          <w:szCs w:val="24"/>
        </w:rPr>
        <w:t xml:space="preserve"> Nicholas &amp; Yu , </w:t>
      </w:r>
      <w:proofErr w:type="spellStart"/>
      <w:r w:rsidRPr="004D4203">
        <w:rPr>
          <w:rFonts w:ascii="Times New Roman" w:eastAsia="Times New Roman" w:hAnsi="Times New Roman" w:cs="B Mitra" w:hint="cs"/>
          <w:color w:val="000000"/>
          <w:sz w:val="24"/>
          <w:szCs w:val="24"/>
        </w:rPr>
        <w:t>Jiyuan</w:t>
      </w:r>
      <w:proofErr w:type="spellEnd"/>
      <w:r w:rsidRPr="004D4203">
        <w:rPr>
          <w:rFonts w:ascii="Times New Roman" w:eastAsia="Times New Roman" w:hAnsi="Times New Roman" w:cs="B Mitra" w:hint="cs"/>
          <w:color w:val="000000"/>
          <w:sz w:val="24"/>
          <w:szCs w:val="24"/>
        </w:rPr>
        <w:t xml:space="preserve"> , The Blackwell Dictionary of Western Philosophy , p 229.</w:t>
      </w:r>
    </w:p>
    <w:bookmarkStart w:id="58" w:name="_edn21"/>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21</w:t>
      </w:r>
      <w:r w:rsidRPr="004D4203">
        <w:rPr>
          <w:rFonts w:ascii="Times New Roman" w:eastAsia="Times New Roman" w:hAnsi="Times New Roman" w:cs="B Mitra"/>
          <w:color w:val="000000"/>
          <w:sz w:val="24"/>
          <w:szCs w:val="24"/>
        </w:rPr>
        <w:fldChar w:fldCharType="end"/>
      </w:r>
      <w:bookmarkEnd w:id="58"/>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هرچند نظريه‌ي مولي مهدي نراقي نيز از وجهي ديگر داراي اشکال است و آن اين که او قاعده ي حد وسط ارسطو</w:t>
      </w:r>
      <w:r w:rsidRPr="004D4203">
        <w:rPr>
          <w:rFonts w:ascii="Times New Roman" w:eastAsia="Times New Roman" w:hAnsi="Times New Roman" w:cs="B Mitra" w:hint="cs"/>
          <w:color w:val="000000"/>
          <w:sz w:val="24"/>
          <w:szCs w:val="24"/>
        </w:rPr>
        <w:t xml:space="preserve"> ( The Mean ) </w:t>
      </w:r>
      <w:r w:rsidRPr="004D4203">
        <w:rPr>
          <w:rFonts w:ascii="Times New Roman" w:eastAsia="Times New Roman" w:hAnsi="Times New Roman" w:cs="B Mitra" w:hint="cs"/>
          <w:color w:val="000000"/>
          <w:sz w:val="24"/>
          <w:szCs w:val="24"/>
          <w:rtl/>
        </w:rPr>
        <w:t xml:space="preserve">را پذيرفته و آن را در مورد حکمت نظري نيز جاري ساخته است و در همين جاست که اين اشکال پيش مي‌آيد که چگونه مي‌توان درباره‌ي حکمت نظري قايل به افراط شد. آيا به کارگيري زياد قوه‌ي عاقله اخلاقا نامطلوب و رذيلت است؟ واضح است که اين اشکال ناشي از پذيرش و به کارگيري قاعده‌ي حد وسط است. آيا قاعده‌ي حد وسط، قاعده‌اي درست و بي نقص است؟ بسياري از صاحب </w:t>
      </w:r>
      <w:r w:rsidRPr="004D4203">
        <w:rPr>
          <w:rFonts w:ascii="Times New Roman" w:eastAsia="Times New Roman" w:hAnsi="Times New Roman" w:cs="B Mitra" w:hint="cs"/>
          <w:color w:val="000000"/>
          <w:sz w:val="24"/>
          <w:szCs w:val="24"/>
          <w:rtl/>
        </w:rPr>
        <w:lastRenderedPageBreak/>
        <w:t>نظران حوزه‌ي اخلاق، از جمله برنارد ويليامز</w:t>
      </w:r>
      <w:r w:rsidRPr="004D4203">
        <w:rPr>
          <w:rFonts w:ascii="Times New Roman" w:eastAsia="Times New Roman" w:hAnsi="Times New Roman" w:cs="B Mitra" w:hint="cs"/>
          <w:color w:val="000000"/>
          <w:sz w:val="24"/>
          <w:szCs w:val="24"/>
        </w:rPr>
        <w:t xml:space="preserve"> ( Bernard Williams ) </w:t>
      </w:r>
      <w:r w:rsidRPr="004D4203">
        <w:rPr>
          <w:rFonts w:ascii="Times New Roman" w:eastAsia="Times New Roman" w:hAnsi="Times New Roman" w:cs="B Mitra" w:hint="cs"/>
          <w:color w:val="000000"/>
          <w:sz w:val="24"/>
          <w:szCs w:val="24"/>
          <w:rtl/>
        </w:rPr>
        <w:t>اين قاعده را نمي‌پذيرند و بر اين باورند که بايد آن را از نظام اخلاقي ارسطو خارج کرد و به دست فراموشي سپرد. پاره‌اي از متفکران مسلمان نيز به خلل‌هايي در آن آگاهي يافته و در صدد ترميم آن برآمده‌اند، از جمله قاضي عضد الدين ايجي با طرح مفهوم " ردائت ". براي آگاهي بيشتر ر.ك</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محمدمهدي النراقي،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جامع السعادات</w:t>
      </w:r>
      <w:r w:rsidRPr="004D4203">
        <w:rPr>
          <w:rFonts w:ascii="Times New Roman" w:eastAsia="Times New Roman" w:hAnsi="Times New Roman" w:cs="B Mitra" w:hint="cs"/>
          <w:color w:val="000000"/>
          <w:sz w:val="24"/>
          <w:szCs w:val="24"/>
          <w:rtl/>
        </w:rPr>
        <w:t>، ج 1، ص 75</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عضدالدين ايجي،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رسالة في الاخلاق</w:t>
      </w:r>
      <w:r w:rsidRPr="004D4203">
        <w:rPr>
          <w:rFonts w:ascii="Times New Roman" w:eastAsia="Times New Roman" w:hAnsi="Times New Roman" w:cs="B Mitra" w:hint="cs"/>
          <w:color w:val="000000"/>
          <w:sz w:val="24"/>
          <w:szCs w:val="24"/>
          <w:rtl/>
        </w:rPr>
        <w:t>، ص 1</w:t>
      </w:r>
      <w:r w:rsidRPr="004D4203">
        <w:rPr>
          <w:rFonts w:ascii="Times New Roman" w:eastAsia="Times New Roman" w:hAnsi="Times New Roman" w:cs="B Mitra" w:hint="cs"/>
          <w:color w:val="000000"/>
          <w:sz w:val="24"/>
          <w:szCs w:val="24"/>
        </w:rPr>
        <w:t>.</w:t>
      </w:r>
    </w:p>
    <w:bookmarkStart w:id="59" w:name="_edn22"/>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22</w:t>
      </w:r>
      <w:r w:rsidRPr="004D4203">
        <w:rPr>
          <w:rFonts w:ascii="Times New Roman" w:eastAsia="Times New Roman" w:hAnsi="Times New Roman" w:cs="B Mitra"/>
          <w:color w:val="000000"/>
          <w:sz w:val="24"/>
          <w:szCs w:val="24"/>
        </w:rPr>
        <w:fldChar w:fldCharType="end"/>
      </w:r>
      <w:bookmarkEnd w:id="59"/>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ابو حامد 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ميزان العمل</w:t>
      </w:r>
      <w:r w:rsidRPr="004D4203">
        <w:rPr>
          <w:rFonts w:ascii="Times New Roman" w:eastAsia="Times New Roman" w:hAnsi="Times New Roman" w:cs="B Mitra" w:hint="cs"/>
          <w:color w:val="000000"/>
          <w:sz w:val="24"/>
          <w:szCs w:val="24"/>
          <w:rtl/>
        </w:rPr>
        <w:t>، ص 101</w:t>
      </w:r>
      <w:r w:rsidRPr="004D4203">
        <w:rPr>
          <w:rFonts w:ascii="Times New Roman" w:eastAsia="Times New Roman" w:hAnsi="Times New Roman" w:cs="B Mitra" w:hint="cs"/>
          <w:color w:val="000000"/>
          <w:sz w:val="24"/>
          <w:szCs w:val="24"/>
        </w:rPr>
        <w:t>.</w:t>
      </w:r>
    </w:p>
    <w:bookmarkStart w:id="60" w:name="_edn23"/>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"_ednref23"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23</w:t>
      </w:r>
      <w:r w:rsidRPr="004D4203">
        <w:rPr>
          <w:rFonts w:ascii="Times New Roman" w:eastAsia="Times New Roman" w:hAnsi="Times New Roman" w:cs="B Mitra"/>
          <w:color w:val="000000"/>
          <w:sz w:val="24"/>
          <w:szCs w:val="24"/>
        </w:rPr>
        <w:fldChar w:fldCharType="end"/>
      </w:r>
      <w:bookmarkEnd w:id="60"/>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همان</w:t>
      </w:r>
      <w:r w:rsidRPr="004D4203">
        <w:rPr>
          <w:rFonts w:ascii="Times New Roman" w:eastAsia="Times New Roman" w:hAnsi="Times New Roman" w:cs="B Mitra" w:hint="cs"/>
          <w:color w:val="000000"/>
          <w:sz w:val="24"/>
          <w:szCs w:val="24"/>
        </w:rPr>
        <w:t>.</w:t>
      </w:r>
    </w:p>
    <w:bookmarkStart w:id="61" w:name="_edn24"/>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"_ednref24"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24</w:t>
      </w:r>
      <w:r w:rsidRPr="004D4203">
        <w:rPr>
          <w:rFonts w:ascii="Times New Roman" w:eastAsia="Times New Roman" w:hAnsi="Times New Roman" w:cs="B Mitra"/>
          <w:color w:val="000000"/>
          <w:sz w:val="24"/>
          <w:szCs w:val="24"/>
        </w:rPr>
        <w:fldChar w:fldCharType="end"/>
      </w:r>
      <w:bookmarkEnd w:id="61"/>
      <w:r w:rsidRPr="004D4203">
        <w:rPr>
          <w:rFonts w:ascii="Times New Roman" w:eastAsia="Times New Roman" w:hAnsi="Times New Roman" w:cs="B Mitra" w:hint="cs"/>
          <w:color w:val="000000"/>
          <w:sz w:val="24"/>
          <w:szCs w:val="24"/>
        </w:rPr>
        <w:t>.</w:t>
      </w:r>
      <w:r w:rsidRPr="004D4203">
        <w:rPr>
          <w:rFonts w:ascii="Times New Roman" w:eastAsia="Times New Roman" w:hAnsi="Times New Roman" w:cs="B Mitra" w:hint="cs"/>
          <w:color w:val="000000"/>
          <w:sz w:val="24"/>
          <w:szCs w:val="24"/>
          <w:rtl/>
        </w:rPr>
        <w:t xml:space="preserve">همان، ص 102 </w:t>
      </w:r>
      <w:r w:rsidRPr="004D4203">
        <w:rPr>
          <w:rFonts w:ascii="Sakkal Majalla" w:eastAsia="Times New Roman" w:hAnsi="Sakkal Majalla" w:cs="Sakkal Majalla" w:hint="cs"/>
          <w:color w:val="000000"/>
          <w:sz w:val="24"/>
          <w:szCs w:val="24"/>
          <w:rtl/>
        </w:rPr>
        <w:t>–</w:t>
      </w:r>
      <w:r w:rsidRPr="004D4203">
        <w:rPr>
          <w:rFonts w:ascii="Times New Roman" w:eastAsia="Times New Roman" w:hAnsi="Times New Roman" w:cs="B Mitra" w:hint="cs"/>
          <w:color w:val="000000"/>
          <w:sz w:val="24"/>
          <w:szCs w:val="24"/>
          <w:rtl/>
        </w:rPr>
        <w:t xml:space="preserve"> 103</w:t>
      </w:r>
      <w:r w:rsidRPr="004D4203">
        <w:rPr>
          <w:rFonts w:ascii="Times New Roman" w:eastAsia="Times New Roman" w:hAnsi="Times New Roman" w:cs="B Mitra" w:hint="cs"/>
          <w:color w:val="000000"/>
          <w:sz w:val="24"/>
          <w:szCs w:val="24"/>
        </w:rPr>
        <w:t>.</w:t>
      </w:r>
    </w:p>
    <w:bookmarkStart w:id="62" w:name="_edn25"/>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"_ednref25"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25</w:t>
      </w:r>
      <w:r w:rsidRPr="004D4203">
        <w:rPr>
          <w:rFonts w:ascii="Times New Roman" w:eastAsia="Times New Roman" w:hAnsi="Times New Roman" w:cs="B Mitra"/>
          <w:color w:val="000000"/>
          <w:sz w:val="24"/>
          <w:szCs w:val="24"/>
        </w:rPr>
        <w:fldChar w:fldCharType="end"/>
      </w:r>
      <w:bookmarkEnd w:id="62"/>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همان، 104</w:t>
      </w:r>
      <w:r w:rsidRPr="004D4203">
        <w:rPr>
          <w:rFonts w:ascii="Times New Roman" w:eastAsia="Times New Roman" w:hAnsi="Times New Roman" w:cs="B Mitra" w:hint="cs"/>
          <w:color w:val="000000"/>
          <w:sz w:val="24"/>
          <w:szCs w:val="24"/>
        </w:rPr>
        <w:t>.</w:t>
      </w:r>
    </w:p>
    <w:bookmarkStart w:id="63" w:name="_edn26"/>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"_ednref26"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26</w:t>
      </w:r>
      <w:r w:rsidRPr="004D4203">
        <w:rPr>
          <w:rFonts w:ascii="Times New Roman" w:eastAsia="Times New Roman" w:hAnsi="Times New Roman" w:cs="B Mitra"/>
          <w:color w:val="000000"/>
          <w:sz w:val="24"/>
          <w:szCs w:val="24"/>
        </w:rPr>
        <w:fldChar w:fldCharType="end"/>
      </w:r>
      <w:bookmarkEnd w:id="63"/>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همان</w:t>
      </w:r>
      <w:r w:rsidRPr="004D4203">
        <w:rPr>
          <w:rFonts w:ascii="Times New Roman" w:eastAsia="Times New Roman" w:hAnsi="Times New Roman" w:cs="B Mitra" w:hint="cs"/>
          <w:color w:val="000000"/>
          <w:sz w:val="24"/>
          <w:szCs w:val="24"/>
        </w:rPr>
        <w:t>.</w:t>
      </w:r>
    </w:p>
    <w:bookmarkStart w:id="64" w:name="_edn27"/>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"_ednref27"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27</w:t>
      </w:r>
      <w:r w:rsidRPr="004D4203">
        <w:rPr>
          <w:rFonts w:ascii="Times New Roman" w:eastAsia="Times New Roman" w:hAnsi="Times New Roman" w:cs="B Mitra"/>
          <w:color w:val="000000"/>
          <w:sz w:val="24"/>
          <w:szCs w:val="24"/>
        </w:rPr>
        <w:fldChar w:fldCharType="end"/>
      </w:r>
      <w:bookmarkEnd w:id="64"/>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همان، 105</w:t>
      </w:r>
      <w:r w:rsidRPr="004D4203">
        <w:rPr>
          <w:rFonts w:ascii="Times New Roman" w:eastAsia="Times New Roman" w:hAnsi="Times New Roman" w:cs="B Mitra" w:hint="cs"/>
          <w:color w:val="000000"/>
          <w:sz w:val="24"/>
          <w:szCs w:val="24"/>
        </w:rPr>
        <w:t>.</w:t>
      </w:r>
    </w:p>
    <w:bookmarkStart w:id="65" w:name="_edn28"/>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"_ednref28"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28</w:t>
      </w:r>
      <w:r w:rsidRPr="004D4203">
        <w:rPr>
          <w:rFonts w:ascii="Times New Roman" w:eastAsia="Times New Roman" w:hAnsi="Times New Roman" w:cs="B Mitra"/>
          <w:color w:val="000000"/>
          <w:sz w:val="24"/>
          <w:szCs w:val="24"/>
        </w:rPr>
        <w:fldChar w:fldCharType="end"/>
      </w:r>
      <w:bookmarkEnd w:id="65"/>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از جمله ر.ك</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ابن مسکويه رازي،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تهذيب الاخلاق</w:t>
      </w:r>
      <w:r w:rsidRPr="004D4203">
        <w:rPr>
          <w:rFonts w:ascii="Times New Roman" w:eastAsia="Times New Roman" w:hAnsi="Times New Roman" w:cs="B Mitra" w:hint="cs"/>
          <w:color w:val="000000"/>
          <w:sz w:val="24"/>
          <w:szCs w:val="24"/>
          <w:rtl/>
        </w:rPr>
        <w:t>، ص 81</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خواجه نصير الدين طوسي،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ناصري</w:t>
      </w:r>
      <w:r w:rsidRPr="004D4203">
        <w:rPr>
          <w:rFonts w:ascii="Times New Roman" w:eastAsia="Times New Roman" w:hAnsi="Times New Roman" w:cs="B Mitra" w:hint="cs"/>
          <w:color w:val="000000"/>
          <w:sz w:val="24"/>
          <w:szCs w:val="24"/>
          <w:rtl/>
        </w:rPr>
        <w:t>، ص 119</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محسن فاني کشميري،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عالم آرا</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اخلاق محسني )، ص 33</w:t>
      </w:r>
      <w:r w:rsidRPr="004D4203">
        <w:rPr>
          <w:rFonts w:ascii="Times New Roman" w:eastAsia="Times New Roman" w:hAnsi="Times New Roman" w:cs="B Mitra" w:hint="cs"/>
          <w:color w:val="000000"/>
          <w:sz w:val="24"/>
          <w:szCs w:val="24"/>
        </w:rPr>
        <w:t>.</w:t>
      </w:r>
    </w:p>
    <w:bookmarkStart w:id="66" w:name="_edn29"/>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"_ednref29"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29</w:t>
      </w:r>
      <w:r w:rsidRPr="004D4203">
        <w:rPr>
          <w:rFonts w:ascii="Times New Roman" w:eastAsia="Times New Roman" w:hAnsi="Times New Roman" w:cs="B Mitra"/>
          <w:color w:val="000000"/>
          <w:sz w:val="24"/>
          <w:szCs w:val="24"/>
        </w:rPr>
        <w:fldChar w:fldCharType="end"/>
      </w:r>
      <w:bookmarkEnd w:id="66"/>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به نظر مي‌‌رسد، چنانچه عدالت را فضيلتي مرکب از فضايل سه گانه بدانيم، عدالتْ وصفِ فضيلت بودن را از دست نمي‌دهد، امّا ساير فضيلتي مستقل به عنوان فضيلت چهارم در عرض فضايل سه گانه نخواهد بود. لذا همانطور که در متن مقاله آمد، نمي‌توان تحت آن فضايلي فرعي ذکر کرد. در اين خصوص، غياث الدين دشتکي در کتاب «اخلاق منصوري» مناقشه‌اي را با جلال الدين دواني به ميدان آورده است که داوري در اين خصوص مجالي ديگر را مي‌طلبد. براي آگاهي بيشتر ر.ك</w:t>
      </w:r>
      <w:r w:rsidRPr="004D4203">
        <w:rPr>
          <w:rFonts w:ascii="Times New Roman" w:eastAsia="Times New Roman" w:hAnsi="Times New Roman" w:cs="B Mitra" w:hint="cs"/>
          <w:color w:val="000000"/>
          <w:sz w:val="24"/>
          <w:szCs w:val="24"/>
        </w:rPr>
        <w:t>:</w:t>
      </w:r>
    </w:p>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hint="cs"/>
          <w:color w:val="000000"/>
          <w:sz w:val="24"/>
          <w:szCs w:val="24"/>
          <w:rtl/>
        </w:rPr>
        <w:t>غياث الدين منصور دشتکي شيرازي،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اخلاق منصوري</w:t>
      </w:r>
      <w:r w:rsidRPr="004D4203">
        <w:rPr>
          <w:rFonts w:ascii="Times New Roman" w:eastAsia="Times New Roman" w:hAnsi="Times New Roman" w:cs="B Mitra" w:hint="cs"/>
          <w:color w:val="000000"/>
          <w:sz w:val="24"/>
          <w:szCs w:val="24"/>
          <w:rtl/>
        </w:rPr>
        <w:t>، تصحيح علي محمد پشتدار، ج 1، تهران امير کبير، 1386، ص 227-234</w:t>
      </w:r>
      <w:r w:rsidRPr="004D4203">
        <w:rPr>
          <w:rFonts w:ascii="Times New Roman" w:eastAsia="Times New Roman" w:hAnsi="Times New Roman" w:cs="B Mitra" w:hint="cs"/>
          <w:color w:val="000000"/>
          <w:sz w:val="24"/>
          <w:szCs w:val="24"/>
        </w:rPr>
        <w:t>.</w:t>
      </w:r>
    </w:p>
    <w:bookmarkStart w:id="67" w:name="_edn30"/>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"_ednref30"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30</w:t>
      </w:r>
      <w:r w:rsidRPr="004D4203">
        <w:rPr>
          <w:rFonts w:ascii="Times New Roman" w:eastAsia="Times New Roman" w:hAnsi="Times New Roman" w:cs="B Mitra"/>
          <w:color w:val="000000"/>
          <w:sz w:val="24"/>
          <w:szCs w:val="24"/>
        </w:rPr>
        <w:fldChar w:fldCharType="end"/>
      </w:r>
      <w:bookmarkEnd w:id="67"/>
      <w:r w:rsidRPr="004D4203">
        <w:rPr>
          <w:rFonts w:ascii="Times New Roman" w:eastAsia="Times New Roman" w:hAnsi="Times New Roman" w:cs="B Mitra" w:hint="cs"/>
          <w:color w:val="000000"/>
          <w:sz w:val="24"/>
          <w:szCs w:val="24"/>
        </w:rPr>
        <w:t xml:space="preserve"> . </w:t>
      </w:r>
      <w:r w:rsidRPr="004D4203">
        <w:rPr>
          <w:rFonts w:ascii="Times New Roman" w:eastAsia="Times New Roman" w:hAnsi="Times New Roman" w:cs="B Mitra" w:hint="cs"/>
          <w:color w:val="000000"/>
          <w:sz w:val="24"/>
          <w:szCs w:val="24"/>
          <w:rtl/>
        </w:rPr>
        <w:t>دواني، 1883، 54</w:t>
      </w:r>
      <w:r w:rsidRPr="004D4203">
        <w:rPr>
          <w:rFonts w:ascii="Times New Roman" w:eastAsia="Times New Roman" w:hAnsi="Times New Roman" w:cs="B Mitra" w:hint="cs"/>
          <w:color w:val="000000"/>
          <w:sz w:val="24"/>
          <w:szCs w:val="24"/>
        </w:rPr>
        <w:t>.</w:t>
      </w:r>
    </w:p>
    <w:bookmarkStart w:id="68" w:name="_edn31"/>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"_ednref31"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31</w:t>
      </w:r>
      <w:r w:rsidRPr="004D4203">
        <w:rPr>
          <w:rFonts w:ascii="Times New Roman" w:eastAsia="Times New Roman" w:hAnsi="Times New Roman" w:cs="B Mitra"/>
          <w:color w:val="000000"/>
          <w:sz w:val="24"/>
          <w:szCs w:val="24"/>
        </w:rPr>
        <w:fldChar w:fldCharType="end"/>
      </w:r>
      <w:bookmarkEnd w:id="68"/>
      <w:r w:rsidRPr="004D4203">
        <w:rPr>
          <w:rFonts w:ascii="Times New Roman" w:eastAsia="Times New Roman" w:hAnsi="Times New Roman" w:cs="B Mitra" w:hint="cs"/>
          <w:color w:val="000000"/>
          <w:sz w:val="24"/>
          <w:szCs w:val="24"/>
        </w:rPr>
        <w:t> </w:t>
      </w:r>
      <w:r w:rsidRPr="004D4203">
        <w:rPr>
          <w:rFonts w:ascii="Times New Roman" w:eastAsia="Times New Roman" w:hAnsi="Times New Roman" w:cs="B Mitra" w:hint="cs"/>
          <w:color w:val="000000"/>
          <w:sz w:val="24"/>
          <w:szCs w:val="24"/>
          <w:rtl/>
        </w:rPr>
        <w:t>محمد مهدي النراقي،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جامع السعادات</w:t>
      </w:r>
      <w:r w:rsidRPr="004D4203">
        <w:rPr>
          <w:rFonts w:ascii="Times New Roman" w:eastAsia="Times New Roman" w:hAnsi="Times New Roman" w:cs="B Mitra" w:hint="cs"/>
          <w:color w:val="000000"/>
          <w:sz w:val="24"/>
          <w:szCs w:val="24"/>
          <w:rtl/>
        </w:rPr>
        <w:t>، ج 1، ص 76</w:t>
      </w:r>
      <w:r w:rsidRPr="004D4203">
        <w:rPr>
          <w:rFonts w:ascii="Times New Roman" w:eastAsia="Times New Roman" w:hAnsi="Times New Roman" w:cs="B Mitra" w:hint="cs"/>
          <w:color w:val="000000"/>
          <w:sz w:val="24"/>
          <w:szCs w:val="24"/>
        </w:rPr>
        <w:t>.</w:t>
      </w:r>
    </w:p>
    <w:bookmarkStart w:id="69" w:name="_edn32"/>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"_ednref32"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32</w:t>
      </w:r>
      <w:r w:rsidRPr="004D4203">
        <w:rPr>
          <w:rFonts w:ascii="Times New Roman" w:eastAsia="Times New Roman" w:hAnsi="Times New Roman" w:cs="B Mitra"/>
          <w:color w:val="000000"/>
          <w:sz w:val="24"/>
          <w:szCs w:val="24"/>
        </w:rPr>
        <w:fldChar w:fldCharType="end"/>
      </w:r>
      <w:bookmarkEnd w:id="69"/>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ابو حامد غزالي،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ميزان العمل</w:t>
      </w:r>
      <w:r w:rsidRPr="004D4203">
        <w:rPr>
          <w:rFonts w:ascii="Times New Roman" w:eastAsia="Times New Roman" w:hAnsi="Times New Roman" w:cs="B Mitra" w:hint="cs"/>
          <w:color w:val="000000"/>
          <w:sz w:val="24"/>
          <w:szCs w:val="24"/>
          <w:rtl/>
        </w:rPr>
        <w:t>، ص 100</w:t>
      </w:r>
      <w:r w:rsidRPr="004D4203">
        <w:rPr>
          <w:rFonts w:ascii="Times New Roman" w:eastAsia="Times New Roman" w:hAnsi="Times New Roman" w:cs="B Mitra" w:hint="cs"/>
          <w:color w:val="000000"/>
          <w:sz w:val="24"/>
          <w:szCs w:val="24"/>
        </w:rPr>
        <w:t>.</w:t>
      </w:r>
    </w:p>
    <w:bookmarkStart w:id="70" w:name="_edn33"/>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"_ednref33"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33</w:t>
      </w:r>
      <w:r w:rsidRPr="004D4203">
        <w:rPr>
          <w:rFonts w:ascii="Times New Roman" w:eastAsia="Times New Roman" w:hAnsi="Times New Roman" w:cs="B Mitra"/>
          <w:color w:val="000000"/>
          <w:sz w:val="24"/>
          <w:szCs w:val="24"/>
        </w:rPr>
        <w:fldChar w:fldCharType="end"/>
      </w:r>
      <w:bookmarkEnd w:id="70"/>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ابن مسکويه رازي‌،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تهذيب الاخلاق</w:t>
      </w:r>
      <w:r w:rsidRPr="004D4203">
        <w:rPr>
          <w:rFonts w:ascii="Times New Roman" w:eastAsia="Times New Roman" w:hAnsi="Times New Roman" w:cs="B Mitra" w:hint="cs"/>
          <w:color w:val="000000"/>
          <w:sz w:val="24"/>
          <w:szCs w:val="24"/>
          <w:rtl/>
        </w:rPr>
        <w:t xml:space="preserve">، </w:t>
      </w:r>
      <w:r w:rsidRPr="004D4203">
        <w:rPr>
          <w:rFonts w:ascii="Times New Roman" w:eastAsia="Times New Roman" w:hAnsi="Times New Roman" w:cs="B Mitra" w:hint="cs"/>
          <w:color w:val="000000"/>
          <w:sz w:val="24"/>
          <w:szCs w:val="24"/>
        </w:rPr>
        <w:t>79.</w:t>
      </w:r>
    </w:p>
    <w:bookmarkStart w:id="71" w:name="_edn34"/>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lastRenderedPageBreak/>
        <w:fldChar w:fldCharType="begin"/>
      </w:r>
      <w:r w:rsidRPr="004D4203">
        <w:rPr>
          <w:rFonts w:ascii="Times New Roman" w:eastAsia="Times New Roman" w:hAnsi="Times New Roman" w:cs="B Mitra"/>
          <w:color w:val="000000"/>
          <w:sz w:val="24"/>
          <w:szCs w:val="24"/>
        </w:rPr>
        <w:instrText xml:space="preserve"> HYPERLINK "http://marefateakhlagi.nashriyat.ir/node/68" \l "_ednref34"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34</w:t>
      </w:r>
      <w:r w:rsidRPr="004D4203">
        <w:rPr>
          <w:rFonts w:ascii="Times New Roman" w:eastAsia="Times New Roman" w:hAnsi="Times New Roman" w:cs="B Mitra"/>
          <w:color w:val="000000"/>
          <w:sz w:val="24"/>
          <w:szCs w:val="24"/>
        </w:rPr>
        <w:fldChar w:fldCharType="end"/>
      </w:r>
      <w:bookmarkEnd w:id="71"/>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نصيرالدين طوسي،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اخلاق ناصري</w:t>
      </w:r>
      <w:r w:rsidRPr="004D4203">
        <w:rPr>
          <w:rFonts w:ascii="Times New Roman" w:eastAsia="Times New Roman" w:hAnsi="Times New Roman" w:cs="B Mitra" w:hint="cs"/>
          <w:color w:val="000000"/>
          <w:sz w:val="24"/>
          <w:szCs w:val="24"/>
          <w:rtl/>
        </w:rPr>
        <w:t xml:space="preserve">، </w:t>
      </w:r>
      <w:r w:rsidRPr="004D4203">
        <w:rPr>
          <w:rFonts w:ascii="Times New Roman" w:eastAsia="Times New Roman" w:hAnsi="Times New Roman" w:cs="B Mitra" w:hint="cs"/>
          <w:color w:val="000000"/>
          <w:sz w:val="24"/>
          <w:szCs w:val="24"/>
        </w:rPr>
        <w:t>119.</w:t>
      </w:r>
    </w:p>
    <w:bookmarkStart w:id="72" w:name="_edn35"/>
    <w:p w:rsidR="004D4203" w:rsidRPr="004D4203" w:rsidRDefault="004D4203" w:rsidP="004D4203">
      <w:pPr>
        <w:shd w:val="clear" w:color="auto" w:fill="FFFFFF"/>
        <w:spacing w:before="100" w:beforeAutospacing="1" w:after="100" w:afterAutospacing="1" w:line="240" w:lineRule="auto"/>
        <w:rPr>
          <w:rFonts w:ascii="Times New Roman" w:eastAsia="Times New Roman" w:hAnsi="Times New Roman" w:cs="B Mitra"/>
          <w:color w:val="000000"/>
          <w:sz w:val="24"/>
          <w:szCs w:val="24"/>
        </w:rPr>
      </w:pPr>
      <w:r w:rsidRPr="004D4203">
        <w:rPr>
          <w:rFonts w:ascii="Times New Roman" w:eastAsia="Times New Roman" w:hAnsi="Times New Roman" w:cs="B Mitra"/>
          <w:color w:val="000000"/>
          <w:sz w:val="24"/>
          <w:szCs w:val="24"/>
        </w:rPr>
        <w:fldChar w:fldCharType="begin"/>
      </w:r>
      <w:r w:rsidRPr="004D4203">
        <w:rPr>
          <w:rFonts w:ascii="Times New Roman" w:eastAsia="Times New Roman" w:hAnsi="Times New Roman" w:cs="B Mitra"/>
          <w:color w:val="000000"/>
          <w:sz w:val="24"/>
          <w:szCs w:val="24"/>
        </w:rPr>
        <w:instrText xml:space="preserve"> HYPERLINK "http://marefateakhlagi.nashriyat.ir/node/68" \l "_ednref35" \o "" </w:instrText>
      </w:r>
      <w:r w:rsidRPr="004D4203">
        <w:rPr>
          <w:rFonts w:ascii="Times New Roman" w:eastAsia="Times New Roman" w:hAnsi="Times New Roman" w:cs="B Mitra"/>
          <w:color w:val="000000"/>
          <w:sz w:val="24"/>
          <w:szCs w:val="24"/>
        </w:rPr>
        <w:fldChar w:fldCharType="separate"/>
      </w:r>
      <w:r w:rsidRPr="004D4203">
        <w:rPr>
          <w:rFonts w:ascii="Times New Roman" w:eastAsia="Times New Roman" w:hAnsi="Times New Roman" w:cs="B Mitra" w:hint="cs"/>
          <w:color w:val="000080"/>
          <w:sz w:val="24"/>
          <w:szCs w:val="24"/>
          <w:u w:val="single"/>
        </w:rPr>
        <w:t>35</w:t>
      </w:r>
      <w:r w:rsidRPr="004D4203">
        <w:rPr>
          <w:rFonts w:ascii="Times New Roman" w:eastAsia="Times New Roman" w:hAnsi="Times New Roman" w:cs="B Mitra"/>
          <w:color w:val="000000"/>
          <w:sz w:val="24"/>
          <w:szCs w:val="24"/>
        </w:rPr>
        <w:fldChar w:fldCharType="end"/>
      </w:r>
      <w:bookmarkEnd w:id="72"/>
      <w:r w:rsidRPr="004D4203">
        <w:rPr>
          <w:rFonts w:ascii="Times New Roman" w:eastAsia="Times New Roman" w:hAnsi="Times New Roman" w:cs="B Mitra" w:hint="cs"/>
          <w:color w:val="000000"/>
          <w:sz w:val="24"/>
          <w:szCs w:val="24"/>
        </w:rPr>
        <w:t xml:space="preserve">. </w:t>
      </w:r>
      <w:r w:rsidRPr="004D4203">
        <w:rPr>
          <w:rFonts w:ascii="Times New Roman" w:eastAsia="Times New Roman" w:hAnsi="Times New Roman" w:cs="B Mitra" w:hint="cs"/>
          <w:color w:val="000000"/>
          <w:sz w:val="24"/>
          <w:szCs w:val="24"/>
          <w:rtl/>
        </w:rPr>
        <w:t>ابن مسکويه رازي،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b/>
          <w:bCs/>
          <w:i/>
          <w:iCs/>
          <w:color w:val="000000"/>
          <w:sz w:val="24"/>
          <w:szCs w:val="24"/>
          <w:rtl/>
        </w:rPr>
        <w:t>تهذيب الاخلاق</w:t>
      </w:r>
      <w:r w:rsidRPr="004D4203">
        <w:rPr>
          <w:rFonts w:ascii="Times New Roman" w:eastAsia="Times New Roman" w:hAnsi="Times New Roman" w:cs="B Mitra" w:hint="cs"/>
          <w:color w:val="000000"/>
          <w:sz w:val="24"/>
          <w:szCs w:val="24"/>
          <w:rtl/>
        </w:rPr>
        <w:t>، ص 79؛ نصير الدين طوسي،</w:t>
      </w:r>
      <w:r w:rsidRPr="004D4203">
        <w:rPr>
          <w:rFonts w:ascii="Cambria" w:eastAsia="Times New Roman" w:hAnsi="Cambria" w:cs="Cambria" w:hint="cs"/>
          <w:color w:val="000000"/>
          <w:sz w:val="24"/>
          <w:szCs w:val="24"/>
          <w:rtl/>
        </w:rPr>
        <w:t> </w:t>
      </w:r>
      <w:r w:rsidRPr="004D4203">
        <w:rPr>
          <w:rFonts w:ascii="Times New Roman" w:eastAsia="Times New Roman" w:hAnsi="Times New Roman" w:cs="B Mitra" w:hint="cs"/>
          <w:i/>
          <w:iCs/>
          <w:color w:val="000000"/>
          <w:sz w:val="24"/>
          <w:szCs w:val="24"/>
          <w:rtl/>
        </w:rPr>
        <w:t>اخلاق ناصري</w:t>
      </w:r>
      <w:r w:rsidRPr="004D4203">
        <w:rPr>
          <w:rFonts w:ascii="Times New Roman" w:eastAsia="Times New Roman" w:hAnsi="Times New Roman" w:cs="B Mitra" w:hint="cs"/>
          <w:color w:val="000000"/>
          <w:sz w:val="24"/>
          <w:szCs w:val="24"/>
          <w:rtl/>
        </w:rPr>
        <w:t xml:space="preserve">، </w:t>
      </w:r>
      <w:r w:rsidRPr="004D4203">
        <w:rPr>
          <w:rFonts w:ascii="Times New Roman" w:eastAsia="Times New Roman" w:hAnsi="Times New Roman" w:cs="B Mitra" w:hint="cs"/>
          <w:color w:val="000000"/>
          <w:sz w:val="24"/>
          <w:szCs w:val="24"/>
        </w:rPr>
        <w:t>119.</w:t>
      </w:r>
    </w:p>
    <w:p w:rsidR="001C28A7" w:rsidRDefault="001C28A7" w:rsidP="004D4203"/>
    <w:sectPr w:rsidR="001C28A7"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95"/>
    <w:rsid w:val="001C28A7"/>
    <w:rsid w:val="004D4203"/>
    <w:rsid w:val="00B86F9F"/>
    <w:rsid w:val="00CB582A"/>
    <w:rsid w:val="00DD42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B343C-9769-453F-8C7B-29C5D078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D420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420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2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4203"/>
    <w:rPr>
      <w:rFonts w:ascii="Times New Roman" w:eastAsia="Times New Roman" w:hAnsi="Times New Roman" w:cs="Times New Roman"/>
      <w:b/>
      <w:bCs/>
      <w:sz w:val="27"/>
      <w:szCs w:val="27"/>
    </w:rPr>
  </w:style>
  <w:style w:type="paragraph" w:customStyle="1" w:styleId="rtecenter">
    <w:name w:val="rtecenter"/>
    <w:basedOn w:val="Normal"/>
    <w:rsid w:val="004D420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4D420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203"/>
    <w:rPr>
      <w:color w:val="0000FF"/>
      <w:u w:val="single"/>
    </w:rPr>
  </w:style>
  <w:style w:type="paragraph" w:styleId="NormalWeb">
    <w:name w:val="Normal (Web)"/>
    <w:basedOn w:val="Normal"/>
    <w:uiPriority w:val="99"/>
    <w:semiHidden/>
    <w:unhideWhenUsed/>
    <w:rsid w:val="004D42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92623">
      <w:bodyDiv w:val="1"/>
      <w:marLeft w:val="0"/>
      <w:marRight w:val="0"/>
      <w:marTop w:val="0"/>
      <w:marBottom w:val="0"/>
      <w:divBdr>
        <w:top w:val="none" w:sz="0" w:space="0" w:color="auto"/>
        <w:left w:val="none" w:sz="0" w:space="0" w:color="auto"/>
        <w:bottom w:val="none" w:sz="0" w:space="0" w:color="auto"/>
        <w:right w:val="none" w:sz="0" w:space="0" w:color="auto"/>
      </w:divBdr>
      <w:divsChild>
        <w:div w:id="558324852">
          <w:marLeft w:val="0"/>
          <w:marRight w:val="0"/>
          <w:marTop w:val="0"/>
          <w:marBottom w:val="0"/>
          <w:divBdr>
            <w:top w:val="none" w:sz="0" w:space="0" w:color="auto"/>
            <w:left w:val="none" w:sz="0" w:space="0" w:color="auto"/>
            <w:bottom w:val="none" w:sz="0" w:space="0" w:color="auto"/>
            <w:right w:val="none" w:sz="0" w:space="0" w:color="auto"/>
          </w:divBdr>
          <w:divsChild>
            <w:div w:id="1687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hed.mohsen@zn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3613</Words>
  <Characters>20595</Characters>
  <Application>Microsoft Office Word</Application>
  <DocSecurity>0</DocSecurity>
  <Lines>171</Lines>
  <Paragraphs>48</Paragraphs>
  <ScaleCrop>false</ScaleCrop>
  <Company/>
  <LinksUpToDate>false</LinksUpToDate>
  <CharactersWithSpaces>24160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2018-01-28T07:41:00Z</dcterms:created>
  <dcterms:modified xsi:type="dcterms:W3CDTF">2018-01-28T08:07:00Z</dcterms:modified>
</cp:coreProperties>
</file>