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bookmarkStart w:id="0" w:name="_GoBack"/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اخلاق 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تعامل سا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بر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سال سوم، شماره دوم، بهار 1391، صفحه 117 ـ 141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Ma'rifat-i Ākhlaqī, Vol.3. No.2, </w:t>
      </w:r>
      <w:proofErr w:type="gramStart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Spring</w:t>
      </w:r>
      <w:proofErr w:type="gramEnd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2012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غلام ح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در كوشا</w:t>
      </w:r>
      <w:bookmarkStart w:id="1" w:name="_ftnref1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"_ftn1"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  <w:rtl/>
        </w:rPr>
        <w:t>*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در 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مقاله سع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شده است دربارة خصوص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ات آس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 زا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فضا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بر بحث شده و اخلاق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عنوان جبران كننده و كاهش دهندة آس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 ها پ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شنهاد شود. در مقاله، ابتدا خصوص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ات رسانه و سپس عوامل ضعف اخلاق كاربران و در نها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ت، دستاوردها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در تقو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اخلاق كاربران و راهبردها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تقو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و استحكام اخلاق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بررس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شده است. در 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مقاله تأك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بر 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است كه اقدامات مل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كارآ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لازم را برا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كاهش 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 از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ن بردن ناهنجار 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وجود آمده ندارد، بلكه راهبرد فرد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ـ اخلاق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به صورت مشخص تر، اخلاق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تواند فضا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آس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 زا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رسانه را به مح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ط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امن تبد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 كند. اخلاق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هم پشتوانه 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استدلال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اخلاق كاربران را تحك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بخشد و هم ضمانت </w:t>
      </w:r>
      <w:r w:rsidRPr="006C7573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اجرا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كارآمد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در اخت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ار قرار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دهد. شرط مكمل راهبرد فرد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ـ اخلاق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جامعه پذ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تقو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روح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ه خود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گرپندار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آشناساز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با پ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امد منطق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رفتار كاربران و نهاد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نه ساز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امر به معروف و نه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منكر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كل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دواژه ها: اخلاق، اخلاق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تعامل سا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اخلاق رسانه و اخلاق كاربران سا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بر.</w:t>
      </w:r>
    </w:p>
    <w:p w:rsidR="006C7573" w:rsidRPr="006C7573" w:rsidRDefault="00B06DB7" w:rsidP="006C7573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5" style="width:0;height:.75pt" o:hralign="right" o:hrstd="t" o:hr="t" fillcolor="#a0a0a0" stroked="f"/>
        </w:pict>
      </w:r>
    </w:p>
    <w:bookmarkStart w:id="2" w:name="_ftn1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"_ftnref1"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rtl/>
        </w:rPr>
        <w:t>*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سطح چهار جامعة المصطف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العالم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کارشناس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ارشد جامعه‌شناس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          </w:t>
      </w:r>
      <w:hyperlink r:id="rId4" w:history="1">
        <w:r w:rsidRPr="006C7573">
          <w:rPr>
            <w:rFonts w:ascii="Times New Roman" w:eastAsia="Times New Roman" w:hAnsi="Times New Roman" w:cs="B Mitra" w:hint="cs"/>
            <w:color w:val="000080"/>
            <w:sz w:val="24"/>
            <w:szCs w:val="24"/>
            <w:u w:val="single"/>
          </w:rPr>
          <w:t>gh.koosha@hotmail.com</w:t>
        </w:r>
      </w:hyperlink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افت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: 26/10/90 ـ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پذ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رش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: 28/1/91</w:t>
      </w:r>
    </w:p>
    <w:bookmarkEnd w:id="0"/>
    <w:p w:rsidR="006C7573" w:rsidRPr="006C7573" w:rsidRDefault="00B06DB7" w:rsidP="006C7573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6" style="width:0;height:.75pt" o:hralign="right" o:hrstd="t" o:hr="t" fillcolor="#a0a0a0" stroked="f"/>
        </w:pic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مقدمه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رسانه بخش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زناپذ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معاصر ماست. انسان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امروز با رسانه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آمده و در طول عمر با آن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كرده و در نها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 آن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رند. دستاوردها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رسانه در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شرفت و ترق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دانش بشر گاه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وصف ناپذ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ارتباطات و دادوستدها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كمتر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زمان ممكن ارمغان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ارتباطات و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ما امروز قادر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با افراد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حرف بزن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ارتباط برقرار 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كه نه تنها خودشان را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شناس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بلكه اسم شهر و محل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شان را حت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نشن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دستاورد كم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كه بتوان حت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بدون ترك كردن اتاق، معامله كرد، كارها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ادار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داد، به دوستان سر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زد و احوالشان را جو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شد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صورت اغراق آم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جاها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جهان مسافرت كرد و اماكن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كشورها را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با افراد مختلف ملاقات كرد. ارتباطات به رغم تسه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بشر به ارمغان آورده است، ذاتاً آس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همراه داشته كه 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شرفت ها و راحت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 را در كام بس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گذاران و كاربران عموم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تلخ كرده است. جرائم جد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بزهكار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ها، ناامن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 و مسائل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فراوان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امروزه افراد با آن درگ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رند، بخش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تلخكام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تحق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در حد توان نو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سنده، تلاش شده است راهكار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كاهش آس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 با استفاده از متون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استخراج و دربارة آن بحث شود. راهكار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شنهادشده، راهكار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به زعم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تحق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ق، راهكار اخلاق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قابل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سته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جبران كردن ضعف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دارد.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الف. مفاه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1)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ن و اخلاق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دو واژة «د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ن» و «اخلاق» از منظر لغت و اصطلاح، تعر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متعدد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 كه در منابع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گر به صورت مبسوط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ادآور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است.</w:t>
      </w:r>
      <w:bookmarkStart w:id="3" w:name="_ednref1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تحق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ق،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 محور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اسلام «مجموعه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اعتقادات، احكام و اخلاق كه خاستگاه قدس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وح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 باشد»، در نظر گرفته شده و مراد از اخلاق «مجموعه نظام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ناظر بر صفات و رفتارها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قابل اتصاف به خوب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شا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و ناشا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است.»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2) اخلاق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اسلام و بالتبع علما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اخلاق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اخلاق، ماه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و بخش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شمرده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در تعر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گفته از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اشاره و دستورالعمل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بخش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معرف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است.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ث، اخلاق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آن رفتار ارزش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كمك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مشخص و حدود آن مع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شود؛</w:t>
      </w:r>
      <w:bookmarkStart w:id="4" w:name="_ednref2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كه ارزش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حدود ارزشمند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افعال با وح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منابع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شناخته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شود، ازا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 اخلاق مبتن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روا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متون مقدس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«اخلاق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شمرده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  <w:bookmarkStart w:id="5" w:name="_ednref3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3) تعامل سا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بر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در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نگاه كل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تعامل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bookmarkStart w:id="6" w:name="_ednref4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حاك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روابط متقابل افراد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است؛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بر پا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ارتباط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تال،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اطلاعات ـ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نترنت، پست الكترون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و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رامون، نظ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چت روم، تابلو اعلانات و همچن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تصو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تال شناخته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  <w:bookmarkStart w:id="7" w:name="_ednref5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تعامل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به دادوستد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دارد كه از طر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به وقوع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وندد.</w:t>
      </w:r>
      <w:bookmarkStart w:id="8" w:name="_ednref6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دادوستد در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تجربه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كه شبكه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الكترون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 ارتباطات متقابل بستر آن را فراهم نموده و بر محدوده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تعامل و هدف تعامل اثر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گذارد. اثرگذار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فضا به گونه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اغلب، خود تعامل به عنوان هدف از سو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تعامل گران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رفته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به طور كل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آنچه تعامل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تع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بخشد: 1. ابزار الكترون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خصوصاً شبكه تارگستر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نترنت، 2. هدف تعامل و 3. اطلاعات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به عنوان محتوا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تعامل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افراد جابةجا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ب. خصوص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ات دن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سا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برنت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ك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افراد ساكن در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روابط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تعاملات خودشان را در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bookmarkStart w:id="9" w:name="_ednref7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سامان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بخشند. «دن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آن افراد به واسطه ارزش ها و علا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مشترك از طر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به همد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متصل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شوند و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وند دوست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عاطف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آنان به وجود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كه ممكن است به ارتباط رودررو منجر شود.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عرض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امروز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قرار گرفته است، 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مخصوص به خود را دارد كه به موارد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 اشاره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1) جهان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و فرامرز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بودن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به روند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دارد كه موجب ارتباطات هم زمان و ظهور «فضا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واحد ارتباط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شده است.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 كم با سه 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بارز «فرامل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بودن»، «فراگ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بودن» و «پ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وستگ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شناخته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  <w:bookmarkStart w:id="10" w:name="_ednref8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ات ذكرشده، 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ظرف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را معرف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كند. بر اساس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ات،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اساساً «فرامل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و «فراجغراف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و به تعب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تر «ب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‏مكان» است، ازا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 همة تول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دات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ضمن بهره مند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خص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صه‏ها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بوم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در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«فرامل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بروز و ظهور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ابد. ابزار فرامرز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نرم افزارها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«جهان كاركرد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است. از طر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دسترس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و شبكه تارگستر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نترنت) فعال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ها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فرامرز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و به 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علت، فعال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جرائم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فرامرز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خوانده شده است.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امكان را در اخت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كاربر قرار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 كه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كشور 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A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اطلاعات را وارد و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كشور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B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را پردازش و شخص سوم در كشور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C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نتا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ج آن دست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و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اهداف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فعال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ده و سازمان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باشد.</w:t>
      </w:r>
      <w:bookmarkStart w:id="11" w:name="_ednref9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2) اطلاعات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بودن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امروزه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بخش 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زناپذ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 شناخته شده است.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ها فرم جهان را از شكل صنعت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شكل اطلاعات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داده است. در جامعة اطلاعات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 ها انسان بدون در نظرداشت زمان و مكان، با هم ارتباط برقرار كرده اند. به تعب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كولاس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نگروپونت</w:t>
      </w:r>
      <w:bookmarkStart w:id="12" w:name="_ednref10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پژوهشگر امر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رسانه، در رساله «انسان عدد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 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وة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معاصر انفورمات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شده است.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سبك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افراد تلاش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 همد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را در اجتماعات و محله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عدد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ملاقات كنند.</w:t>
      </w:r>
      <w:bookmarkStart w:id="13" w:name="_ednref11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"/>
      <w:r w:rsidRPr="006C7573">
        <w:rPr>
          <w:rFonts w:ascii="Cambria" w:eastAsia="Times New Roman" w:hAnsi="Cambria" w:cs="Cambria" w:hint="cs"/>
          <w:color w:val="000000"/>
          <w:sz w:val="24"/>
          <w:szCs w:val="24"/>
          <w:vertAlign w:val="superscript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صورت روشن تر، نه تنها روابط اهال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اطلاعات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بلكه هو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آنها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اطلاعات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عدد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شناخت اهال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اجتماعات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همد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بر پا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رمزها،</w:t>
      </w:r>
      <w:bookmarkStart w:id="14" w:name="_ednref12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4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آدرس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الكترون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bookmarkStart w:id="15" w:name="_ednref13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5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چت روم ها،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وندها</w:t>
      </w:r>
      <w:bookmarkStart w:id="16" w:name="_ednref14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6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تارنماها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bookmarkStart w:id="17" w:name="_ednref15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7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كه در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آنها همد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را ملاقات كرده و با هم تعامل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اطلاعات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فرهنگ جامعه نو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عامل ظهور فرهنگ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الكترون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متفاوت در سطح جهان شده</w:t>
      </w:r>
      <w:bookmarkStart w:id="18" w:name="_ednref16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8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دوسو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را در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 است. به 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سبب، فرهنگ الكترون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شدن فرهنگ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) فرا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عظ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دووجه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سطح جهان را همراه دارد؛ فرا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هم فرهنگ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 را در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سطح عام تر هم سان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سازد و هم باعث شكل 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خرده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فرهنگ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همسو با اجتماعات خاص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  <w:bookmarkStart w:id="19" w:name="_ednref17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9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3) انزوا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معاشرت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برخ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پژوهشگران رسانه به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شدن روابط خوشب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بوده و آن را راه حل منطق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مشكلات و مسائل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شهر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نظ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«حركت جمع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ت»، «سوانح و حوادث شهر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و «مسائل انسان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دانند،</w:t>
      </w:r>
      <w:bookmarkStart w:id="20" w:name="_ednref18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0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حال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كنار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خوش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نگران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رقابل اغماض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ز وجود دارد.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شاخص 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آنها انزوا، تنها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كاهش ارتباط چهره به چهره عاطف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ان افراد است. براساس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پژوهش 1.5م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 دلار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پژوهشگران دانشگاه كارنگ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ملون</w:t>
      </w:r>
      <w:bookmarkStart w:id="21" w:name="_ednref19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"_edn19"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1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استفاده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با كاهش ارتباط كاربران با اعضا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خانواده، كاهش روابط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در نها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افسردگ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همراه است.</w:t>
      </w:r>
      <w:bookmarkStart w:id="22" w:name="_ednref20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2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كاهش ارتباط و انزوا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معاشرت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تعامل معتادانه و مستمر با شبكه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تارگستر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نترنت) است. حاصل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نوع تعامل، 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جز جذاب تر پنداشتن صفحه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از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روزمره</w:t>
      </w:r>
      <w:bookmarkStart w:id="23" w:name="_ednref21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3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كاهش علاقه كاربران به مشاركت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فعال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نخواهد بود.</w:t>
      </w:r>
      <w:bookmarkStart w:id="24" w:name="_ednref22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4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4)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هنجار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وتضاد هنجار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اساس روابط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 هنجارها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لحظه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  <w:bookmarkStart w:id="25" w:name="_ednref23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5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تعامل مستمر با تارنماها سبب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كه كاربر از هنجارها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فاصله گرفته و در درازمدت به آنها كم توجه شود. مطالعات انجام شده 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نشان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 كه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استفاده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با نسب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ارتباط معنادار دارد؛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استفاده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 در مقا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سه با كسان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استفاده نكرده اند نسب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نگرترند.</w:t>
      </w:r>
      <w:bookmarkStart w:id="26" w:name="_ednref24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6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 منطق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نسب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بروز هنجارها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متضاد در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تعامل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 خواهد بود،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كاربران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نظم بخش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تعاملاتشان در اجتماعات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تازه شكل گرفته، ناگز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شوند هنجارها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متضاد را مطرح كنند</w:t>
      </w:r>
      <w:bookmarkStart w:id="27" w:name="_ednref25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7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نگران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تضاد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روابط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علت است كه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تضاد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روابط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 محدود نمانده و به صورت نامرئ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اجتماعات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را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تحت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قرار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دهد.</w:t>
      </w:r>
      <w:bookmarkStart w:id="28" w:name="_ednref26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8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lastRenderedPageBreak/>
        <w:t>ج. ب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هنجار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اخلاق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تداب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 امن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در فضا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سا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بر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كه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فرصت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جهت رشد،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شرفت و توسعه جوامع به همراه آورده است، اما ضمن فرصت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دست آمده،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برخ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مسائل را دربردارد كه امروزه كشورها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جهان با آن درگ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رند، از جمله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 به مشكلات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كرد. 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شة مشكلات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معاشرت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بر پا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هنجارها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رفته شده معاشران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در بس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موارد، هنجارها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جامعه ابتدا در تعاملات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در تعاملات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ده گرفته شده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شكسته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به 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منظور، دست اندركاران و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گذاران بخش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ادشده در سطوح مختلف درصدد كنترل و از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بردن هنجارشكن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برآمده اند.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مبارزه با هنجارشكن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تداب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كنترل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سه سطح حكومت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/ 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بعضاً به كار بسته شده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1) اقدامات مل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</w:p>
    <w:p w:rsidR="006C7573" w:rsidRPr="006C7573" w:rsidRDefault="00B06DB7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راهبردها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مبارزه با آس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حاصل از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نترنت، اقدامات مل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حكومت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كشورهاست. در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راهبرد، كشورها 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رانه و كاهش دهنده مخاطرات را در دستور كار قرار داده و مسئول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برقرار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اجتماع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 را به ارگان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و مربوط وام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گذارند. برا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امر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كا در سال 2003م مصوبه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ابلاغ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كه بر اساس آن، استراتژ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حمله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عل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رساخت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كاهش آس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پذ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طر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و كم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كردن خسارات و زمان باز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بازساز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حملات اجتماع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اولو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راهبرد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دولت امر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كا را تشك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داده و فعال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همچون جاسوس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خراب كار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تبل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غات، سرقت اطلاعات و موارد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دست در دستور كار دولت قرار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</w:t>
      </w:r>
      <w:bookmarkStart w:id="29" w:name="_ednref27"/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"_edn27" \o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6C7573"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27</w: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29"/>
      <w:r w:rsidR="006C7573"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اولو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دوم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ابلاغ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اقدامات كاهش دهندة آس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در اولو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دوم، تأك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شده است كه دستگاه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به منظور پ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گرد قانون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مهاجمان سا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شده و بستر استفاده امن و معتبر از 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قابل اطم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نان و همچن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كنترل نظارت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كنترل 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تال توسعه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ابد.</w:t>
      </w:r>
      <w:bookmarkStart w:id="30" w:name="_ednref28"/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"_edn28" \o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6C7573"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28</w: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0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به عنوان كشور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شرو در استفاده از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در آس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و 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انوس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سطح 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قوان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سال 1994م به منظور حفاظت از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اطلاعات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تصو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كرد.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قانون، تصو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شده استكه 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چ سازمان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تواند از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 اطلاعات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استفاده كند كه منافع جمع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منافع قانون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شهروندان را به مخاطره اندازد.</w:t>
      </w:r>
      <w:bookmarkStart w:id="31" w:name="_ednref29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"_edn29"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1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طور كل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هر كشور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تناسب توانمند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تمه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جهت برقرارساز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و سلامت كاربران آن در نظر گرفته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چالش 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اقدامات مل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البته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تداب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حكومت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كشورها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بردن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كاهش هنجارشكن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مؤثر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حكومت ها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مهار شكسته شدن هنجارها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جامعه، نوعاً به مجازات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متوسل شده و اول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در اجرا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مجازات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وجود قلمرو حكومت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حكومت هاست. تع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قلمرو حكومت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جرائم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مشكلات اساس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مقابل حكومت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</w:t>
      </w:r>
      <w:bookmarkStart w:id="32" w:name="_ednref30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2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 دولت ها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توانند جرائم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با سهولت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جرائم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جغراف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كشور خود،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كنند،</w:t>
      </w:r>
      <w:bookmarkStart w:id="33" w:name="_ednref31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3"/>
      <w:r w:rsidRPr="006C7573">
        <w:rPr>
          <w:rFonts w:ascii="Cambria" w:eastAsia="Times New Roman" w:hAnsi="Cambria" w:cs="Cambria" w:hint="cs"/>
          <w:color w:val="000000"/>
          <w:sz w:val="24"/>
          <w:szCs w:val="24"/>
          <w:vertAlign w:val="superscript"/>
          <w:rtl/>
        </w:rPr>
        <w:t> 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ممكن است دامنة جرم در كشور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بروز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 و مجرم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رون از آن كشور باشد. علاوه بر آنچه گفته شد، محدود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برابر اقدامات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سطح 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دارد، از جمله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قوان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كشورها قابل كاربرد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و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به علت جد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بودن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اطلاعات در بس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كشورها، پل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 آموزش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مناسب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مبارزه با 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ندارد. و از همه مهم تر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مخف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هو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كاربران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امكان تعق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و شناسا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آنان را با مشكل روبه رو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سازد.</w:t>
      </w:r>
      <w:bookmarkStart w:id="34" w:name="_ednref32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4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2) اقدامات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ن الملل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راه بعد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مبارزه با 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اقدامات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نهادها و سازمان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از جمله سازمان توسعه و همكار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اقتصاد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شورا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اروپا، انجمن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حقوق جزا (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AIDP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)،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نترپول و كنوانس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 اروپا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كرا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اقدامات شا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توجه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منظور تحت كنترل قرار دادن 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داده اند.</w:t>
      </w:r>
      <w:bookmarkStart w:id="35" w:name="_ednref33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5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آخر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اقدام در سال 2001م كنفرانس بوداپست بود كه در آن اغلب كشورها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اروپا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همراه كانادا، ژاپن و افر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جنوب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امر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كا مصوبه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با عنوان «كنوانس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 جنا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بر» به امضا رساندند و در آن، فاكتورها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همچون دسترس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رقانون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اطلاعات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تخر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تعامل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داده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طر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حمله به شبكه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بزرگ، دسترس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رقانون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كدها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برنامه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حساس، تخط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قوان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تكث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رقانون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لم 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شبكة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و راه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مبارزه با آن مدنظر قرار گرفت.</w:t>
      </w:r>
      <w:bookmarkStart w:id="36" w:name="_ednref34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6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نكتة قابل ذكر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تمام نهادها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ادشده،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اقتصاد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نظر داشته و كمتر به 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اطلاعات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هنجارشكن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توجه كرده اند.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كنوانس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 اروپا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كرا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در خصوص هنجارشكن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فقط به پورنوگراف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كودكان بسنده كرده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چالش 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اقدامات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اقدامات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خوش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نانه 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آل 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وة مبارزه با مسائل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حاش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شده است. اما اقدام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همكار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تمام كشورها به رغم ضرورت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دارد، عملاً چالش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دارد كه روند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اقدام را با مشكل روبه رو كرده است. اول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نكته، عدم بهره مند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همسطح كشورها از امكانات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دسترس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است.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عدم تقارن، از سو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سطح جرائم و از سو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سطح تخر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را در كشورها ناهمسان ساخته است.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مسئله خود باعث تفاوت نگاه در تعر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و دامنه 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سبب اختلاف و به تعب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بهتر، كاهش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كشورها در مبارزه با 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گرد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در 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باعث شده است كه كشورها آمادگ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لازم را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تدو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قوان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همسو و همسان با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كشورها نداشته باشند. دوم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معاهده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مبارزه با مسائل جهان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به شدت تحت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روابط خارج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حاكم بر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كشورهاست؛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كه كشورها به صورت همسو با همد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در مسائل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همكار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 و اگر هم اعلام آمادگ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در فرا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اجرا با سرد شدن روابط، سطح همكار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سرد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3) راهكارها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فرد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و اخلاق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باتوجه به چالش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ادشده بر سر راه اقدامات حكومت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كنترل 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مؤثرتر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اقدام، مراعات كردن مسائل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توسط خودكاربران است.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روش كه به روش «كنترل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موسوم است، تمام تضم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درون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بوده و شخص با بهره 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وجدان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مبان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تعهد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مراقبت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لازم را در خصوص طرز استفاده از شبكه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عمل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آورد.</w:t>
      </w:r>
      <w:bookmarkStart w:id="37" w:name="_ednref35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7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روش در مقا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سه با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روش ها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در سطوح مختلف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قابل اعمال بوده و ظرف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رگذار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اطراف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كاربر را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دارد. با توجه به كارآمد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روش، كشورها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شرفته در كنار اقدامات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اصول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راه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كنترل 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در نظر گرفته اند.</w:t>
      </w:r>
      <w:bookmarkStart w:id="38" w:name="_ednref36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8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موارد عمل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تدب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نهاد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شدن اصول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روزنامه نگار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براساس آن كشورها سع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 در گزارش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به اصول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عنوان اصول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توجه نما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ند. نمونه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منشور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است كه در سال 1992م توسط انجمن ماش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آلات 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تأ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شده و 24 فرمان و رهنمود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آن ذكر شده است.</w:t>
      </w:r>
      <w:bookmarkStart w:id="39" w:name="_ednref37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39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اقدام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به جهت 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وابسته است و با باورها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پشت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شود، راه حل مطمئن و كم هز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مقا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سه با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تمه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دات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1ـ3) فضا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بر و اخلاق سكولار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اخلاق سكولار بن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نظر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خودش را بر توج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بدون اعتقادات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استوار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سازد. در اخلاق سكولار، ارزش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نظ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خوش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هنر و عشق تعاون انسان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امر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خوش به عنوان غا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نظر گرفته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  <w:bookmarkStart w:id="40" w:name="_ednref38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0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در اخلاق سكولار «لذت»، «سود»، «قدرت»، «تما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انسان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و «انتخاب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است؛</w:t>
      </w:r>
      <w:bookmarkStart w:id="41" w:name="_ednref39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"_edn39"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1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مفاه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درصدد است انسان را در توج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اخلاق از وابستگ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منبع فرا انسان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سازد.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اخلاق سكولار علاوه بر مشكلات توج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معرفت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دارد، در كنترل هنجارشكن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موفق نخواهد بود،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مع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ادشده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سكولار به سبب نسب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دستور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همراه دارد، خود مبدئ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فراگ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تعاملات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رهنجارمند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lastRenderedPageBreak/>
        <w:t>2ـ3) اخلاق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در تعاملات سا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باورها و ارزش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محرك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فرد را به رفتار درست و هنجارمند سوق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دهد. اخلاق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 نقش تحر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و هم نقش بازدارنده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ازا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 اخلاق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 نقش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تحر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كنترل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 و هم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عنصر در تهذ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اخلاق «مراقبت» است. مراقبت در علم اخلاق به معنا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خودكنترل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مستمر و محافظت دائم از رفتارها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ظاهر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باطن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  <w:bookmarkStart w:id="42" w:name="_ednref40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2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حضور عنصر مراقبت در اخلاق نشانة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اخلاق از طر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توانمندساز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به خود بازدارندگ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اهداف خود نا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اكنون به تناسب تحق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با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 كه چگونه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 كاربران و اهال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دهكدة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را به قدرت خودكنترل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مراقبت توانمند ساخت؟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پاسخ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سؤال، سزاوار است كه دربارة خاستگاه كم توجه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به دستورات و رهنمودها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كاوش كرده و در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آن، دستاوردها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بررس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د. دلا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ل كم توجه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به دستورات اخلاق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1) ضعف استدلال اخلاق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افراد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حر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را محترم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شمارند قطعاً خود از سرما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نازل 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بهره مندند.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كلبرگ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تحق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دربارة مراحل شناخت قضاوت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مجرم،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كه انجام رفتار مجرمانه و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سبب رشد 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آنهاست.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نظر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كه به نظر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«رشد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معروف است، اظهار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كه بزهكاران به علت عدم فرصت اجرا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نقش در كودك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نتوانسته اند استدلال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وسعت بخش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در 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رشد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اند.</w:t>
      </w:r>
      <w:bookmarkStart w:id="43" w:name="_ednref41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3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ضعف استدلال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كم توجه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دستورات و احكام و قواعد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خود متأثر از عدم اطم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نان افراد از درست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صحت مرجع آنهاست.</w:t>
      </w:r>
      <w:bookmarkStart w:id="44" w:name="_ednref42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4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2) 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ازها، و سا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ق 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 xml:space="preserve"> مختلف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رفتار انسان تحت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عوامل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ها هم خود متأثر از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ازها و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حاصل از آن است.</w:t>
      </w:r>
      <w:bookmarkStart w:id="45" w:name="_ednref43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5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ازها و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انسان گونه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 كه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 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دو عنوان كل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ك» و «ن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بررس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شوند. با توجه به اصل روان شناخت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وابستگ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 به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زه، ممكن است كم توجه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قواعد و اوامر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سبب باشد كه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زة رفتار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مستحكم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ست؛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ممكن است فرد به اصول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داشته باشد و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زة كاف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فعل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 باشد، با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حال،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تداوم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و بر اثر گرا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ها و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دچار اختلال شود.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3) ضعف ضمانت اجرا</w:t>
      </w:r>
    </w:p>
    <w:p w:rsidR="006C7573" w:rsidRPr="006C7573" w:rsidRDefault="00B06DB7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از دلا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كم توجه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دستورات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خصوصاً در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ضعف ضمانت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ضمانت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سخت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قادرند بر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نظارت داشته باشند، علاوه بر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ضمانت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ررسم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تأم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كنند، وجود نداشته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حضور آنها بس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كم رنگ است. به سبب ضعف ضمانت اجراست كه شكستن هنجارها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چشمگ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رتر از جهان واقع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علت آن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روابط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صورت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كه ه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سازمان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كنترل عضو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شبكه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عهده نداشته و ه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سازمان متمركز جهان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مسدود كردن تارنماها وجود ندارد،</w:t>
      </w:r>
      <w:bookmarkStart w:id="46" w:name="_ednref44"/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"_edn44" \o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6C7573"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44</w: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6"/>
      <w:r w:rsidR="006C7573"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 ضعف ضمانت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اجرا مستعد بروز رفتارها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هنجارشكنانة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خواهد بود.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دستاوردها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 در تقو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رفتار اخلاق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با توجه به عوامل كم توجه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به احكام و دستورات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سزاوار است بررس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كه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چه نقش ها و كاركردها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تواند داشته باشد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دستاوردها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رفع محدود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گفتة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ست؟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جبران كمبود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تضم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توجه به دستورات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كاركردها و نقش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برعهده دارد كه به موارد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 اشاره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ن، مرجع اطم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نان بخش صدور احكام اخلاق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افراد هنگام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زة كاف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مراعات كردن قواعد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انجام رفتار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دست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آورند كه از بن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استدلال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قابل دفاع بهره مند باشند.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زم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استدلال و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در انسان‏ها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به طر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درست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احكام و دستورات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واقف شده و احكام و دستورات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اطم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نان بخش تلق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كنند. راه وقوف بر درست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احكام و دستورات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وجدان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انسان‏هاست و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ه‏ا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از سو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كننده‏ا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آگاه و دلسوز صادر شود. از آنجا كه احكام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از منبع وح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صادر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‏شود و 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ترد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خصوص آگاه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خ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رخواه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خداوند در دل مؤمنان وجود ندارد،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زه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اطم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نان 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 احكام در جان مؤمنان پد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‏آ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</w:t>
      </w:r>
      <w:bookmarkStart w:id="47" w:name="_ednref45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7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 استمراربخش انگ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زة رفتار اخلاق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حفظ و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در تداوم رفتار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نقش كل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دارد.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گزاره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 را در جهت حفظ،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استمرار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رفتار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كمك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كند.</w:t>
      </w:r>
      <w:bookmarkStart w:id="48" w:name="_ednref46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8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هم مع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ثابت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اخلاق فراهم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 و از رهگذر آن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ها، ثبات و جاودانگ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 و هم معتقدات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جمله اعتقاد به روز 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امت و اعتقاد به پاداش عذاب اخرو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زة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احكام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فراهم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آورد.</w:t>
      </w:r>
      <w:bookmarkStart w:id="49" w:name="_ednref47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49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بنابرا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باورها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زة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مؤثر است و هم در بقا و استمرار آن.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ضمانت ها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اجرا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برا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اخلاق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نبود ضمانت اجرا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چالش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مورد بحث در اخلاق به شمار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رود.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محدود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در حوزه تعاملات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چشمگ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رتر و مسئله سازتر به نظر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رسد. بنابرا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جست وجو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تضم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اخلاق، زم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ساز عمل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شدن هرچه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اصول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خواهد بود.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كاركردها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اند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شة متفكران اسلام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فراهم ساختن ضمانت اجرا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اصول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  <w:bookmarkStart w:id="50" w:name="_ednref48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0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روان شناخت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ضرورت تضم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ضرور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سازد،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اصول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برنامه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هنگام طغ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غرا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و شهوت ها و 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كشش ها و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ممكن است دچار اختلال شود.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ضرور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فراتر از وجدان انسان كنترل و تعد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او را برعهده 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</w:t>
      </w:r>
      <w:bookmarkStart w:id="51" w:name="_ednref49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"_edn49"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1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اعتقاد به خدا كه از همه تر و خشك عالم آگاه است</w:t>
      </w:r>
      <w:bookmarkStart w:id="52" w:name="_ednref50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2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از رگ گردن به انسان نزد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تر است،</w:t>
      </w:r>
      <w:bookmarkStart w:id="53" w:name="_ednref51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3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همچن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به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آن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كوكاران پاداش گرفته و بدكاران به سزا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اعمال خود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رسند، ضمانت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تحقق عمل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احكام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دست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ناظر اخلاق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در خلوتگه ها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سا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بر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B06DB7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عوامل اساس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وقوع جرا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هنجارشكن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بر، پنهان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وقوع جرم و پنهان ماندن هو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مجرم است.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خصوص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ضمن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به كاربر انگ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جرم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دهد، تداب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پ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رانه جرم را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 مانع روبه رو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سازد. مانع بودن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به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سبب است كه باعث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‏شود شخص بدون مشاهده كس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‏آنكه كس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اجازه تعرض به حر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مش را داشته باشد، براساس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لش عمل كند. برخلاف دن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در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ن‏ امكان وجود دارد كه كاربران بتوانند در خصوص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‏تر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من‏تر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مكان، شد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دتر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ناهنجار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‏ها را مرتكب شوند. امكان ارتكاب جرم در حر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امن و امكان مخف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نگهداشتن هو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ت‏ واقع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باعث شده است كه بس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افراد در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در مقا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سه با دن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چهره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شخص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متفاوت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خود بروز دهند.</w:t>
      </w:r>
      <w:bookmarkStart w:id="54" w:name="_ednref52"/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"_edn52" \o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6C7573"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52</w: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4"/>
      <w:r w:rsidR="006C7573"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بنابرا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سا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خلوتگه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bookmarkStart w:id="55" w:name="_ednref53"/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"_edn53" \o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6C7573"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53</w: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5"/>
      <w:r w:rsidR="006C7573"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كه فرد را وادار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 تا خود را در هرنوع استفاده از امكانات فراهم شده در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آزاد بپندارد، ازا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 اگر فرد به عنوان كاربر و عضو تعامل گر در فضا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خود را در موقع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كه از او مراقبت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قطعاً انحرافات او كاهش خواهد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در منابع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روان شناخت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كه در خلوت ها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گناه در او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شود، توجه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صورت گرفته است. شا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علت 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است كه در روا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معصومان (ع) مجالست زن و مرد در مكان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شخص سوم آنها را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ند، منع شده است</w:t>
      </w:r>
      <w:bookmarkStart w:id="56" w:name="_ednref54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6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اعتقاد به خداوند به عنوان مراقبت كننده و ناظر رفتار و كردار انسان، عامل بازدارنده، نگهدارنده و كنترل گر آس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ها و مفاسد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مدنظر قرار گرفته است. حضرت امام رضا (ع) در حد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به «علل الشرا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ع» مشهور است،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به خداوند را عامل بازدارنده دانسته و 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شة بس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انحراف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ضعف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عدم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به خداوند و عدم توجه به ناظر و مراقبت كننده اعمال و رفتارها دانسته اند. آن حضرت در پاسخ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پرسش كه چرا با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خداوند اقرار كرد، نگرش كاركردگرا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انتخاب نموده، 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ند: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دل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 لزوم اقرار به خداوند ز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اد است، از جمله 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نكه كس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به خداوند اقرار نم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كند از گناهانش دور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نم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جو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و از ارتكاب گناهان كب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ره، امتناع نم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ورزد، و به ه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چ كس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ناظر و مراقب خواسته ها و لذت خواه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 در فساد و ظلم باشد، توجه نم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كند، ازا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رو هنگام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فرد گناه كرد و تمام آنچه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خواست و هوس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كرد بدون مراقبت 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 مراقبت گر مرتكب شد، زم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نه نابود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جامعه و هجوم برخ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بر برخ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فراهم خواهد شد. در نت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جه، 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امر سبب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شود كه آنها آبرو و مال همد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را به تاراج برده و خون و زنان همد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را حلال شمرده و همد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را به قتل برسانند.</w:t>
      </w:r>
      <w:bookmarkStart w:id="57" w:name="_ednref55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  <w:vertAlign w:val="superscript"/>
          <w:rtl/>
        </w:rPr>
        <w:t>55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7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حضرت در فراز بعد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شر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با توجه به 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روان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خلوت نترس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انسان،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خداوند و عالم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را عامل بازدارندة انسان از گناه و فساد در خلوتگاه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دانسته و 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ند: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ما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كه گاه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افراد در موارد پنهان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دور از چشم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گران، فساد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كنند. اگر 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مان به خدا و ترس از عالم غ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 نبود، كس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نبود كه در خلوت شهوان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اراد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افراد، آنها را در دور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گناه و هتك حرمت و انجام گناه كب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ره تحت نظر داشته باشد.</w:t>
      </w:r>
      <w:bookmarkStart w:id="58" w:name="_ednref56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  <w:vertAlign w:val="superscript"/>
          <w:rtl/>
        </w:rPr>
        <w:t>56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8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آنچه در بحث هنجارشكن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دارد، شكستن خلوت اهال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باور درون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موجود ناظر و شاهد و كنترل گر و مجهز ساختن آنها به اعتقاد به خدا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آشكار و پنهان را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داند</w:t>
      </w:r>
      <w:bookmarkStart w:id="59" w:name="_ednref57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59"/>
      <w:r w:rsidRPr="006C7573">
        <w:rPr>
          <w:rFonts w:ascii="Cambria" w:eastAsia="Times New Roman" w:hAnsi="Cambria" w:cs="Cambria" w:hint="cs"/>
          <w:color w:val="000000"/>
          <w:sz w:val="24"/>
          <w:szCs w:val="24"/>
          <w:vertAlign w:val="superscript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كل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اسرار در دستان اوست و به 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اها و ساحل علم داشته و 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اتفاق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افتد كه او نداند و 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تر و خشك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خارج از قلمرو علم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منتها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</w:t>
      </w:r>
      <w:bookmarkStart w:id="60" w:name="_ednref58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0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ش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وه ها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نهاد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نه كردن اخلاق 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در كاربران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در صورت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امن تبد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كه كاربران آن، سالم و هنجارمند عمل كنند. البته جا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ادآور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كنار راهبردها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ناظر به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 كاربران، راهكارها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 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استفاده از ظرف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ابزار ارتباطات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مدنظر قرار گرفته است، مثل راهكارها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لترنمودن محتوا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 نظارت بر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و چگونگ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نفوذ. اما نكته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اگر كاربران ضرورت و لزوم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 در ارتباطات خودشان را باور نكنند، چنان كه تجربه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چندساله نشان داده است، سازوكارها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سبب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شرفت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قرار گرفتن برنامه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عبور از موانع تعب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شده بر سر راه استفاده كنندگان، عملاً تداب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كنترل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با بن بست روبه رو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سازد. با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حساب، راهبرد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استفاده از راهكارها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نهاد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كاربر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محور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دستورات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صورت متمم كنترل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خاص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خواهد داشت. در مباحث باق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مانده، راهكارها و 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كاربران، بررس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استحكام جامعه پذ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ترب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جامعه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 از عوامل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هم كاربران را در مقابل مخاطرات احتمال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آماده و هم دستورالعمل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برون رفت از وضع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آمده به دست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دهد. آموزش و تعل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چگونگ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استفاده از تكنولوژ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برمحور و جهت 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مناسب در 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تعاملات كاربران در آن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ط، از جمله تداب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رانه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وسته بر آن تأك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عنوان «تداب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رانه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رشدمدار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طر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جامعه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انتخاب شده است. منظور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تدب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 «مجموعه اقدامات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دوران رشد و تكامل شخص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جسم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كودكان به اجرا درم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د.»</w:t>
      </w:r>
      <w:bookmarkStart w:id="61" w:name="_ednref59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"_edn59"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1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توجه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كودكان و نوجوانان و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جوانان در معرض ارتكاب جرم قرار دارند،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رشدمدار، قدرت شناخت و تم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آنها را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كرده و مهارت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كه در حفظ سلامت تعامل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هست، آموزش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دهد.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آموزش آموزه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نظ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خود را به جا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گذاشتن،</w:t>
      </w:r>
      <w:bookmarkStart w:id="62" w:name="_ednref60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2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آثار وضع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رفتار مترتب بودن،</w:t>
      </w:r>
      <w:bookmarkStart w:id="63" w:name="_ednref61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3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احترام داشتن جان، مال، آبرو و ناموس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</w:t>
      </w:r>
      <w:bookmarkStart w:id="64" w:name="_ednref62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4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سرنوشت و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همگان،</w:t>
      </w:r>
      <w:bookmarkStart w:id="65" w:name="_ednref63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5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همه در هدا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فرد به سمت رفتار حساب شده و هنجارمند كمك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خانواده و كاربران اخلاق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خانواده، هم به لحاظ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 به لحاظ جامعه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نهادها و سازمان ها تقدم دارد. اول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تواند بذر اخلاق را در ذهن شهروندان بالقوه دن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بكارد، خانواده و با اولو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شتر، والد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است. چنان چه بتوان در ابتدا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امر، توص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ه‏ها و آموزش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لازم را به والد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ن‏ منتقل و آنها را با خطرها و همچن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مزا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و مطلوب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ت‏ها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آشنا كرد،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‏توان‏ تا حد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ثمربخش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اهداف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شگرانه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دوار بود. والد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فرا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فرزندشان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توانند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حس‏ مسئول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ت‏پذ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توانا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انتخاب گز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نه‏ها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سالم هنگام استفاده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نترنت، تصم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م‏گ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به‏جا و مناسب دربارة محتوا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كه‏ قرار است مشاهده كنند و آموزش چگونگ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محتوا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نامناسب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ممكن است‏ مشاهده كنند و كاهش عواقب آن، اهتمام ورز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</w:t>
      </w:r>
      <w:bookmarkStart w:id="66" w:name="_ednref64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6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در نها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ت،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سلامت فرزند خود را تضم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كنند.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مسئول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ده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، همسالان و نفوذ اخلاق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والد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مسئولان آموزش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بزرگسالان درگ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 همه در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روح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كودكان و نوجوانان نقش دارند. در كنار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نها عامل مهم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‏تواند در شكل‏گ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شخص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كودكان نقش مهم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فا كند، فرزندان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اطراف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بزرگ‏تر از آنها هستند. سپردن مسئول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كوچك ترها به بزرگترها علاوه بر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در سلامت رفتار كوچك ترها كمك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كند،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 خودشان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خواهد بود،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حفظ وجهة خود در برابر كوچك‏ترها سع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‏كنند كه مرتكب اقدامات ناشا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نشوند،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كه به‏خوب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‏دانند كه كوچك‏ترها رفتارها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را تعق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كرده و منتظر تقل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آنها هستند.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ر بازدارندة همسالان بر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در اغلب انحرافات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نظ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استفاده از مواد مخدر، فرار از مدرسه و پرخاشگر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تجربه ثابت شده است. با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حساب، به نظر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‏رسد كه در هدا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صح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فعال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ت‏ها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آن‏لا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نِ كوچك‏ترها 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جة مغا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پد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</w:t>
      </w:r>
      <w:bookmarkStart w:id="67" w:name="_ednref65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7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حق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افراد كه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‏توانند دانش‏آموزان، همسا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گان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بهتر از همه، خواهر و برادرها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بزرگ‏تر باشند، علاوه بر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به كوچك‏ترها چگونگ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استفاده صح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را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‏آموزند، مراقب اشتباهات آنان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خواهند بود و اگر آموزش بب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نند،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‏توانند با تذكرها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ح، از ارتكاب مجدد آنها جلوگ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بُعد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نفوذ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همسالان به آشناساز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فرزندان با دوستان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شا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دارند، برم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گردد.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روش، هم به والد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هم مدرسه و مراكز آموزش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امكان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 كه در دوست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فرزندان اشراف داشته و آنها را از دوستان ناسالم دور كرده و به دوستان خودساخته معرف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آشناساز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با آثار وضع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رفتار</w:t>
      </w:r>
    </w:p>
    <w:p w:rsidR="006C7573" w:rsidRPr="006C7573" w:rsidRDefault="00B06DB7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ش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استدلال با پ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منطق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وضع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 خاص است.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روش در قرآن كر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كار برده شده است. خداوند متعادل به پ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 دستور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دهند كه در پاسخ به سؤال از خوردن شراب و باز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قمار، نفع و ضررشان را 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كن و بگو كه ضررشان 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از منفعتشان است.</w:t>
      </w:r>
      <w:bookmarkStart w:id="68" w:name="_ednref66"/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"_edn66" \o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6C7573"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66</w: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8"/>
      <w:r w:rsidR="006C7573"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جا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آمده است كه خوردن شراب و باز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كردن قمار، دشمن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عداوت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كرده و باعث ترك نماز و دور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خداوند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  <w:bookmarkStart w:id="69" w:name="_ednref67"/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"_edn67" \o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="006C7573"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67</w:t>
      </w:r>
      <w:r w:rsidR="006C7573"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69"/>
      <w:r w:rsidR="006C7573"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دو نمونة فوق، نشان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دهد كه انسان ها به آثار وضع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جرم و گناه واكنش نشان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دهند و آگاه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پ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اجتماع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تواند رفتار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را تقو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كرده و زم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جرم و گناه را از 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6C7573"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ببرد.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آگاه 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منطق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 كاربران آنان را به رفتار درست و هنجارمند دعوت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كند.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علّامه طباطبائ</w:t>
      </w:r>
      <w:r w:rsidR="00B06DB7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بحث گناه و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در سطح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گسترش دامنه گناه بر تمام كسان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جامعه و در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فرهنگ واحد زندگ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كنند،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عفت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ادآور شده و آثار وضع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آن، از جمله تنزل موقع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گوشزد كرده و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ادآور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شوند كه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عفت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اگر در سطح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وع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 آثار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ممكن است دگرگون شود و واكنش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كمتر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 باشد، اما آثار وضع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گاه از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نخواهد رفت.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باب 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ند: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عفت كه 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امور آدم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خلاعت (ب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‏عفت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) امر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آدم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 مادام كه فرد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 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 نوع تأث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در زندگ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فرد دارد، مثلاً آنكه دارا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خلاعت و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عفت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 مورد نفرت عموم قرار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رد و مردم حاضر 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ستند با او ازدواج كنند و اعتمادشان نسبت به او سلب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‏شود،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او را ام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بر ه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چ امانت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نم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‏سازند... البته 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[ازب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رفتن پ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امد اجتماع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عفت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با ش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وع در سطح جامعه] تنها در مورد احكام اجتماع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 و اما احكام وضع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طب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عفت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جا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خود باق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است؛ نسل را قطع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‏كند و امراض مقاربت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‏آورد و مفاسد اخلاق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اجتماع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دارد. از جمله مفاسد اجتماع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اش 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است كه انساب و دودمان ها را درهم و برهم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‏سازد، انشعاب ها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قوم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باطل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‏شود،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فوا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در 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انشعاب ها هست عا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جامعه نم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‏شود، پس آثار وضع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عفت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آثار سوء و مورد انزجار فطرت بشر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است، خواه ناخواه مترتب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‏شود.</w:t>
      </w:r>
      <w:bookmarkStart w:id="70" w:name="_ednref68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0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چنان كه مرحوم علامه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ز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ادآور شده است،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ماندگار و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رگذار است، ازا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 اطلاع و آشنا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افراد، از جمله ساكنان و اهال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دهكده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از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فعال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انجام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دهند، در هدا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صلاح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نقش خواهد داشت.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تقو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احساس خودد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گرپندار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صة مشترك كسان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مرتكب جرم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شوند و به رفتار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زنند كه ممكن است جان، مال و 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خطر اندازند،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آنها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را طعمه پنداشته و با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فرض مكتوم بودن هو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تشان، رفتار مجرمانه انجام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دهند. اگر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احساس در كاربر به وجود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كه ممكن است خود او طعمه شده و 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تش به باز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گرفته شود به احتمال خ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دست به 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نخواهد زد. از جمله دستورالعمل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هدا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افراد به سمت رفتار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«احساس خودد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پندار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است. امام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(ع) به فرزندش امام حسن (ع) 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كه مدام خود را به جا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گذاشته و هرچه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پسندد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 بپسندد و هرچه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پسندد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 نپسندد.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پسرم! خود را مق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اس رفتار خود با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قرار بده؛ هرچه برا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خودت دوست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دار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هم دوست بدار و هرچه خود ناخوشا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ند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پندار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گران هم ناخوشا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ند بپندار. چنانچه دوست ندار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مورد ظلم واقع شو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پس به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گران ظلم نكن، به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گران 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كن چنان كه دوست دار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تو 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شود، و هرآنچه خود زشت م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دان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در مورد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گران هم زشت بدان، به آنچه علم ندار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ولو اندك، سخن مران، و 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كه دوست ندار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توگو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ند به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گران نگو.</w:t>
      </w:r>
      <w:bookmarkStart w:id="71" w:name="_ednref69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"_edn69"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  <w:vertAlign w:val="superscript"/>
          <w:rtl/>
        </w:rPr>
        <w:t>69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1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فراز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رالمؤمن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(ع) دستورالعمل بس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كارآمد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همه، چه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تعاملات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چه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تعاملات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گوشزد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آن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هركس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سزاوار است خود را در موقع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و از چشم انداز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ارز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كند.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 گرام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(ص)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روش اهتمام بس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داشتند. روز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خواست كه زنا را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حلال كند. حضرت در پاسخ فرمود: «آ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دوست دار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مورد شما [ناموس شما]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شود.» مرد در پاسخ گفت: نه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رسول الله. سپس حضرت فرمود: «پس هر 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خود بدان راض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برادرت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رضا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بده.»</w:t>
      </w:r>
      <w:bookmarkStart w:id="72" w:name="_ednref70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"_edn70"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70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2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آن حضرت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گفت وگو تلو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حاً به سؤال كننده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فهمانند كه چنان كه 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كس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دوست ندارد به مادر، خواهر، دختر و زنش تعد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شود، با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حر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نگه دارد و حرمت 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را بزرگ بشمارد.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تمام نكته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ادشده،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ارزشمند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همراه دارد كه لازم است به 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وة مناسب در اخت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كاربران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قرار گرفته و متعاقباً حس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تحر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و تحك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فرهنگ ساز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امر به معروف و نه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از منكر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اسلام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جلوگ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انحرافات، هنجارشكن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هنجارساز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(تبد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منكر به معروف) راهكار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نظر گرفته است كه در تمام جوامع و در همة فرهنگ ها و همچن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سطوح مختلف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كاربرد دارد. راهكار «امر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منكر» كه اهرم نظارت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سو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عموم افراد جامعه است، آثار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كه در نها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سلامت جامعه منته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در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روا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بس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آثار 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تأك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شده است. هنگام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از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 (ص) در مورد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6 سوره مباركة تحر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كه در آن به حفظ خود و خانواده از آتش جهنم دستور داده شده، پرس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شد كه چگونه خود و خانوادة خود را از آتش حفظ 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حضرت در پاسخ 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فرمود: «خانوادة خود را به آنچه خداوند امر فرموده دستور بده، و از آنچه خداوند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كرده است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اگر آنها اطاعت كردند حفظ خواهند شد.»</w:t>
      </w:r>
      <w:bookmarkStart w:id="73" w:name="_ednref71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"_edn71"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71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3"/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دستور حضرت به 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حفظ خانواده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انگر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عم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نوع برخورد در اصلاح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است.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 (ص) در فراز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صراحت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كه زمان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رسد كه زنان به فساد، و جوانان به سمت فجور و گناه كش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شوند، اما اطراف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نم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كنند و 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كم كم به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امر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انجامد كه معروف به جا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منكر و منكر در كسوت معروف درم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</w:t>
      </w:r>
      <w:bookmarkStart w:id="74" w:name="_ednref72"/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"_edn72"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72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4"/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شواهد 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راجع به اهم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كاربرد 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وجود دارد كه به هم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مورد بسنده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آنچه از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بحث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 استفاده كرد نقش 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در سلامت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كاربران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امروزه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نگران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ها آلودگ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نوجوانان و جوانان از طر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ارتباطات الكترون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و رسانه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جمع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خصوصاً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است. اگر سنت 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حاكم باشد،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مشكل اگر به صورت كامل از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نرود، دست كم كاهش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و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تخر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 به حداقل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رسد. البته فرهنگ 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ازمند برنامه 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جمع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شروع آن از سن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كودك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است. نظام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كانون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توانند با دستور كار قراردادن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روح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به عنوان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اهداف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ندة فرزندان و جامعه را تضم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كنند.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جمع بند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نت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جه گ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</w:t>
      </w:r>
      <w:r w:rsidR="00B06DB7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مباحث انجام شده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 نت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گرفت: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الف)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ضمن فراهم ساز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امكانات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شرفت زا، آس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همراه دارد؛ آس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با ماه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قر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است. 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بر، نظ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ارتباط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بودن، امكان پنهان نگهداشتن هو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حاكم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چندگانگ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تضاد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نبود راهكار نظارت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كارآمد، مستعد رفتارها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كاربران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ب) اقدامات لازم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سلامت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در سه سطح 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مورد بحث قرار گرفته و به اجرا درآمده است كه با توجه به مشكلات و چالش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اقدامات دولت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كارآمدتر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اقدام، راهبردها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ج) ضعف اخلاق در رفتارها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چه در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چه در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بر، معلول ضعف و سست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استدلال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هجمه گرا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ها و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نبود ضمانت اجرا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مؤثر است.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د)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دستاوردها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ارزشمند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رفتار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همراه دارد.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مرجع اطم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نان بخش صدور احكام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اخت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افراد قرار داده و باعث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استحكام انگ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رفتار اخلاق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گذشته از همه، ناظر آرمان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در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ضمانت اجرا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مؤثر، كارآمد و مستمر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به شمار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رود.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ه‍ ) تقو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كاربران، وابسته به اعمال راهبردها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است: اول،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در فرا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جامعه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كودكان اخلاق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صورت جد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به عنوان 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هدف، مورد توجه نهادها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عوامل جامعه پذ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قرار 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دوم،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با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كاربران را با آثار وضع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 منطق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رفتارشان در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آشنا ساخت. سوم،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را در كاربران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كرد كه خود را در موقع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قرار دهند. چهارم، نهاد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كردن امر به معروف و نه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در افراد جامعه، بستر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رفتار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تعامل گران مح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را تضم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كند.</w:t>
      </w:r>
    </w:p>
    <w:p w:rsidR="006C7573" w:rsidRPr="006C7573" w:rsidRDefault="00B06DB7" w:rsidP="006C7573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7" style="width:0;height:.75pt" o:hralign="right" o:hrstd="t" o:hr="t" fillcolor="#a0a0a0" stroked="f"/>
        </w:pic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پ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‌نوشت‌ها:</w:t>
      </w:r>
    </w:p>
    <w:bookmarkStart w:id="75" w:name="_edn1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5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اطلاع از تعار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ر.ك، ابن منظور،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لسان العرب،</w:t>
      </w:r>
      <w:r w:rsidRPr="006C7573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5 ذ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واژة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ن؛ 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کل پترسون و همکاران،‌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عقل و اعتقاد 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ترجمه احمد نراق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ابراه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سلطان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ص18؛ محمدتق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آموزش عقا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1، ص26؛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دمحمدحس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طباطبائ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الم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زان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2، ص143. و برا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اخلاق، ر.ك:، راغب اصفهان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المفردات ف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غر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 القران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ص185؛ نص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رالد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طوس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اخلاق ناصر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ص101؛ ملامهد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نراق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جامع السعادات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46؛ آراف، اتک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نسون،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درآمد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برفلسفه اخلاق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ترجمه سهراب علو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ا، ص 16.</w:t>
      </w:r>
    </w:p>
    <w:bookmarkStart w:id="76" w:name="_edn2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6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محمدتق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مصباح، «رابطه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اخلاق»،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قبسات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13، ص 34.</w:t>
      </w:r>
    </w:p>
    <w:bookmarkStart w:id="77" w:name="_edn3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7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مسعود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درآمد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بر فلسفه اخلاق ازد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دگاه متفکران مسلمان معاصر 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ران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171.</w:t>
      </w:r>
    </w:p>
    <w:bookmarkStart w:id="78" w:name="_edn4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"_ednref4"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8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proofErr w:type="gramStart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cyber</w:t>
      </w:r>
      <w:proofErr w:type="gramEnd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interaction.</w:t>
      </w:r>
    </w:p>
    <w:bookmarkStart w:id="79" w:name="_edn5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79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زهرا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‌فرد، سلمان انصار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‌زاده، افش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کرم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پره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ز، «تعامل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و تاث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آن بر هو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زنان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پژوهش زنان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سال هشتم، ش 2، ص 195.</w:t>
      </w:r>
    </w:p>
    <w:bookmarkStart w:id="80" w:name="_edn6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"_ednref6"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0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Richard A. </w:t>
      </w:r>
      <w:proofErr w:type="gramStart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Spinello ,</w:t>
      </w:r>
      <w:proofErr w:type="gramEnd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cyberethics ( morality and low in cyberspace), p. 37.</w:t>
      </w:r>
    </w:p>
    <w:bookmarkStart w:id="81" w:name="_edn7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"_ednref7"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1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. Virtual space.</w:t>
      </w:r>
    </w:p>
    <w:bookmarkStart w:id="82" w:name="_edn8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2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سع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درضا عامل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‌شدنها مفاه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نظر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ه‌ها»، ا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رغنون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24، ص 8.</w:t>
      </w:r>
    </w:p>
    <w:bookmarkStart w:id="83" w:name="_edn9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3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برومند باستان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جرائم کامپ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وتر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و 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28.</w:t>
      </w:r>
    </w:p>
    <w:bookmarkStart w:id="84" w:name="_edn10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"_ednref10"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10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4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. Nicholas Negroponte.</w:t>
      </w:r>
    </w:p>
    <w:bookmarkStart w:id="85" w:name="_edn11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"_ednref11"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85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فل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برتون،</w:t>
      </w:r>
      <w:r w:rsidRPr="006C7573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 انترنت، تهد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وند اجتماع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اصغر سرحد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 جمش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24.</w:t>
      </w:r>
    </w:p>
    <w:bookmarkStart w:id="86" w:name="_edn12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"_ednref12"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12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6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. Paswords.</w:t>
      </w:r>
    </w:p>
    <w:bookmarkStart w:id="87" w:name="_edn13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"_ednref13"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13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7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. ID.</w:t>
      </w:r>
    </w:p>
    <w:bookmarkStart w:id="88" w:name="_edn14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"_ednref14"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14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8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. Links.</w:t>
      </w:r>
    </w:p>
    <w:bookmarkStart w:id="89" w:name="_edn15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"_ednref15"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15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9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. Webs.</w:t>
      </w:r>
    </w:p>
    <w:bookmarkStart w:id="90" w:name="_edn16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lastRenderedPageBreak/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"_ednref16"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0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منوچهر محسن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جامعه‌شناس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جامعة اطلاعات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41.</w:t>
      </w:r>
    </w:p>
    <w:bookmarkStart w:id="91" w:name="_edn17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"_ednref17"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1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رونالد رابرتسون،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جهان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شدن، کمال پولاد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213.</w:t>
      </w:r>
    </w:p>
    <w:bookmarkStart w:id="92" w:name="_edn18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"_ednref18"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18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2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مجموعه نو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 و آس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ب‌ها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اجتماع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راسته مسعود کوثر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131-117.</w:t>
      </w:r>
    </w:p>
    <w:bookmarkStart w:id="93" w:name="_edn19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"_ednref19"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19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3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Carnegie Mellon </w:t>
      </w:r>
      <w:proofErr w:type="gramStart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university</w:t>
      </w:r>
      <w:proofErr w:type="gramEnd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4" w:name="_edn20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4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وبرت 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فوس،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نگاه فلسف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به 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ملائکه، ص 16.</w:t>
      </w:r>
    </w:p>
    <w:bookmarkStart w:id="95" w:name="_edn21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5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احمد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دوار و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اکبر طالب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اعت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اد به 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15.</w:t>
      </w:r>
    </w:p>
    <w:bookmarkStart w:id="96" w:name="_edn22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6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محمدسع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ذکائ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«جوانان و فراغت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مطالعات جوانان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6، ص23-17</w:t>
      </w:r>
    </w:p>
    <w:bookmarkStart w:id="97" w:name="_edn23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7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مجموعه نو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 همان، ص 94.</w:t>
      </w:r>
    </w:p>
    <w:bookmarkStart w:id="98" w:name="_edn24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8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گدازگر و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مراد موس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‌پور، «بررس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رات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بر نسب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جهان‌نگر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دانشجو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دانشگاه تبر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علوم اجتماع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3، ص 201.</w:t>
      </w:r>
    </w:p>
    <w:bookmarkStart w:id="99" w:name="_edn25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99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مسعود کوثر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 و آس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ب‌ها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اجتماع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184.</w:t>
      </w:r>
    </w:p>
    <w:bookmarkStart w:id="100" w:name="_edn26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0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نفلد در مورد ارتباط روابط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روابط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ادعا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 که تحق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قات نشانگر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که 31 درصد روابط جنس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آنلا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به ارتباط جنس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واقع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منجر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ر.ک: (د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لد،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«اعت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اد مجاز</w:t>
      </w:r>
      <w:r w:rsidR="00B06DB7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احت غرب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18، ص 23).</w:t>
      </w:r>
    </w:p>
    <w:bookmarkStart w:id="101" w:name="_edn27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1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ابراه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حسن‌ب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حقوق و امن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در فضا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بر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ص270 -271.</w:t>
      </w:r>
    </w:p>
    <w:bookmarkStart w:id="102" w:name="_edn28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2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همان، ص 274.</w:t>
      </w:r>
    </w:p>
    <w:bookmarkStart w:id="103" w:name="_edn29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"_ednref29"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29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3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همان، ص 278.</w:t>
      </w:r>
    </w:p>
    <w:bookmarkStart w:id="104" w:name="_edn30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4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فراهان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جلال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«صلاح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ک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»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، فقه و حقوق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11، ص 94.</w:t>
      </w:r>
    </w:p>
    <w:bookmarkStart w:id="105" w:name="_edn31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5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زگرد «آزاد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،اخلاق و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اطلاعات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کتاب ماه کل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85.</w:t>
      </w:r>
    </w:p>
    <w:bookmarkStart w:id="106" w:name="_edn32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6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مجموعه نو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 همان، ص 83.</w:t>
      </w:r>
    </w:p>
    <w:bookmarkStart w:id="107" w:name="_edn33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7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ر.ك: دکتر ابراه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حسن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همان، ص 190-198.</w:t>
      </w:r>
    </w:p>
    <w:bookmarkStart w:id="108" w:name="_edn34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8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برومند باستان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جرائم کامپ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وتر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و 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63.</w:t>
      </w:r>
    </w:p>
    <w:bookmarkStart w:id="109" w:name="_edn35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09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مجموعه نو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 «نگاه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چالش ها و راهکارها در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شبکه»،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کتاب ماه کل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85، ص 31.</w:t>
      </w:r>
    </w:p>
    <w:bookmarkStart w:id="110" w:name="_edn36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0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«آزاد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اخلاق و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اطلاعات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كتاب ماه كل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18، ص 38.</w:t>
      </w:r>
    </w:p>
    <w:bookmarkStart w:id="111" w:name="_edn37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lastRenderedPageBreak/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1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جمع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نو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اخلاق کاربرد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چالشها و کاوشها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نو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 در اخلاق عمل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412.</w:t>
      </w:r>
    </w:p>
    <w:bookmarkStart w:id="112" w:name="_edn38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"http://marefateakhlagi.nashriyat.ir/node/108" \l "_ednref38" \o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</w:rPr>
        <w:t>38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2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. Kai Nielsen, </w:t>
      </w:r>
      <w:r w:rsidRPr="006C7573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Religious versus secular morality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, in ethics without God, p. 538-540.</w:t>
      </w:r>
    </w:p>
    <w:bookmarkStart w:id="113" w:name="_edn39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"_ednref39"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39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3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ر.ک.مر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صانع‌پور،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فلسفة اخلاق و 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56-64.</w:t>
      </w:r>
    </w:p>
    <w:bookmarkStart w:id="114" w:name="_edn40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4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ملامحمدمهد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نراق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معراج السعادة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694.</w:t>
      </w:r>
    </w:p>
    <w:bookmarkStart w:id="115" w:name="_edn41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5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پوت 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سامونز،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روانشناس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و جرم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دکتر داود نجف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توانا، ص 81.</w:t>
      </w:r>
    </w:p>
    <w:bookmarkStart w:id="116" w:name="_edn42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6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 فتحعل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‌خان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آموزه‌ها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بن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 اخلاق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1، ص 73.</w:t>
      </w:r>
    </w:p>
    <w:bookmarkStart w:id="117" w:name="_edn43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7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‌اکبر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روان‌شناس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پرورش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ص350.</w:t>
      </w:r>
    </w:p>
    <w:bookmarkStart w:id="118" w:name="_edn44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8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دکتر نع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«چالشها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روزنامه نگار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الکترون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رسانه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55، ص 25-46</w:t>
      </w:r>
    </w:p>
    <w:bookmarkStart w:id="119" w:name="_edn45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19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 فتحعل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</w:t>
      </w:r>
    </w:p>
    <w:bookmarkStart w:id="120" w:name="_edn46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0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ذب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الله نع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«مباد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کلام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پا</w:t>
      </w:r>
      <w:r w:rsidR="00B06DB7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ان نامه کارشناس</w:t>
      </w:r>
      <w:r w:rsidR="00B06DB7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 xml:space="preserve"> ارشد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موسسه آموزش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وپژوهش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امام خم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(ره)، ص 54.</w:t>
      </w:r>
    </w:p>
    <w:bookmarkStart w:id="121" w:name="_edn47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1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 فتحعل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‌خان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همان، ص 29.</w:t>
      </w:r>
    </w:p>
    <w:bookmarkStart w:id="122" w:name="_edn48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2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ر.ك: ترابط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اخلاق از منظر استاد مصباح و «اقتراح: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اخلاق»،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قبسات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13، ص 2-29.</w:t>
      </w:r>
    </w:p>
    <w:bookmarkStart w:id="123" w:name="_edn49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"_ednref49"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49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3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جعفر، سبحان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«رابطه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اخلاق (پرورش فضائل و تعد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غرا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پشتوانه اجرا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ارزشها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)»، کلام اسلام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31، ص 12.</w:t>
      </w:r>
    </w:p>
    <w:bookmarkStart w:id="124" w:name="_edn50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4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انعام: 59.</w:t>
      </w:r>
    </w:p>
    <w:bookmarkStart w:id="125" w:name="_edn51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5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ق: 16.</w:t>
      </w:r>
    </w:p>
    <w:bookmarkStart w:id="126" w:name="_edn52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6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جلال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‌فراهان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رضا باقر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اصل، «پ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جرائم و انحرافات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»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مجلس و پژوهش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55، ص 149.</w:t>
      </w:r>
    </w:p>
    <w:bookmarkStart w:id="127" w:name="_edn53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7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Privacy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bookmarkStart w:id="128" w:name="_edn54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8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امام صادق (ع)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 بر زنان را خود دار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مجالست زن و مرد در خلوت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 و همچن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حضرت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 (ص) نخواب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مرد را در مکان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صدا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زن نامحرم شن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جزء خصوص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افراد مؤمن به خدا و 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امت بر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‌شمارند. (ر.ک: محمدبن حسن حر عامل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وسائل الش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عه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ج20، ص185.</w:t>
      </w:r>
    </w:p>
    <w:bookmarkStart w:id="129" w:name="_edn55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29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صدوق‏،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ون اخبارالرضا</w:t>
      </w:r>
      <w:r w:rsidRPr="006C7573">
        <w:rPr>
          <w:rFonts w:ascii="Cambria" w:eastAsia="Times New Roman" w:hAnsi="Cambria" w:cs="Cambria" w:hint="cs"/>
          <w:i/>
          <w:iCs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  <w:rtl/>
        </w:rPr>
        <w:t>(ع)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2، ص 421.</w:t>
      </w:r>
    </w:p>
    <w:bookmarkStart w:id="130" w:name="_edn56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0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همان.</w:t>
      </w:r>
    </w:p>
    <w:bookmarkStart w:id="131" w:name="_edn57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1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: 7.</w:t>
      </w:r>
    </w:p>
    <w:bookmarkStart w:id="132" w:name="_edn58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lastRenderedPageBreak/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2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انعام: 59.</w:t>
      </w:r>
    </w:p>
    <w:bookmarkStart w:id="133" w:name="_edn59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"_ednref59"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59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3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جلال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رضا باقر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اصل، همان، ص 134.</w:t>
      </w:r>
    </w:p>
    <w:bookmarkStart w:id="134" w:name="_edn60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4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نهج‌البلاغه، ص 391.</w:t>
      </w:r>
    </w:p>
    <w:bookmarkStart w:id="135" w:name="_edn61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5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مائده: 33.</w:t>
      </w:r>
    </w:p>
    <w:bookmarkStart w:id="136" w:name="_edn62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6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محمدباقر مجلس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بحار الأنوار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‏23، ص 165.</w:t>
      </w:r>
    </w:p>
    <w:bookmarkStart w:id="137" w:name="_edn63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"_ednref63"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63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7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انفال: 25.</w:t>
      </w:r>
    </w:p>
    <w:bookmarkStart w:id="138" w:name="_edn64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"_ednref64"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64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8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جلال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رضا باقر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اصل، همان، ص 141.</w:t>
      </w:r>
    </w:p>
    <w:bookmarkStart w:id="139" w:name="_edn65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"_ednref65"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65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39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همان، ص 142.</w:t>
      </w:r>
    </w:p>
    <w:bookmarkStart w:id="140" w:name="_edn66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"_ednref66"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66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40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بقره: 219.</w:t>
      </w:r>
    </w:p>
    <w:bookmarkStart w:id="141" w:name="_edn67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"_ednref67"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67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41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مائده: 91.</w:t>
      </w:r>
    </w:p>
    <w:bookmarkStart w:id="142" w:name="_edn68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"_ednref68"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68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42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دمحمدحس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طباطبا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الم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زان ف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تفس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 القرآن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دمحمد باقر موسو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‌همدان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2، ص 644.</w:t>
      </w:r>
    </w:p>
    <w:bookmarkStart w:id="143" w:name="_edn69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"_ednref69"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69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43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درض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نهج البلاغة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397.</w:t>
      </w:r>
    </w:p>
    <w:bookmarkStart w:id="144" w:name="_edn70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"_ednref70"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70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44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ابن‌اث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أسدالغابة فى معرفة الصحابة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ج‏ 5، ص 263.</w:t>
      </w:r>
    </w:p>
    <w:bookmarkStart w:id="145" w:name="_edn71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"_ednref71"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71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45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محدث عامل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تفص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وسائل الش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عة إلى تحص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مسائل الشر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عة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‏16، ص 148.</w:t>
      </w:r>
    </w:p>
    <w:bookmarkStart w:id="146" w:name="_edn72"/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begin"/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</w:rPr>
        <w:instrText>HYPERLINK "http://marefateakhlagi.nashriyat.ir/node/108" \l "_ednref72" \o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instrText xml:space="preserve"> "" </w:instrTex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separate"/>
      </w:r>
      <w:r w:rsidRPr="006C7573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  <w:vertAlign w:val="superscript"/>
          <w:rtl/>
        </w:rPr>
        <w:t>72</w:t>
      </w:r>
      <w:r w:rsidRPr="006C7573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fldChar w:fldCharType="end"/>
      </w:r>
      <w:bookmarkEnd w:id="146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محمدباقر مجلس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بحار الأنوار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‏52، ص 181.</w:t>
      </w:r>
    </w:p>
    <w:p w:rsidR="006C7573" w:rsidRPr="006C7573" w:rsidRDefault="00B06DB7" w:rsidP="006C7573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8" style="width:0;height:.75pt" o:hralign="right" o:hrstd="t" o:hr="t" fillcolor="#a0a0a0" stroked="f"/>
        </w:pic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6C7573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منابع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ابن اث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أسدالغابة ف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معرفة الصحابة، ب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روت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دار الفكر، 1409 ق/ 1989، ج ‏5.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نسون، آر اف،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درآمد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برفلسفه اخلاق،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ترجمه سهراب علو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ا، تهران، مركز ترجمه ونشركتاب، 1369.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الاصفهان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الراغب، المفردات 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ب القران، دفتر نشرالكتاب،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اول 1404، ص 185.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مسعود،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درآمد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بر فلسفه اخلاق ازد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دگاه متفكران مسلمان معاصر 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ران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ز، دانشگاه تبر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ز؛ موسسه تحق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 اسلام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انسان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1381.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دوار، احمد و طالب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اكبر،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اعت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اد به 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مشهد، تمر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1381.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باستان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برومند،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جرائم كامپ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وتر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و 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بهنام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1383.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«چالشها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روزنامه نگار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الكترون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رسانه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55، ص 25-46.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برتون، فل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 انترنت، تهد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برا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وند اجتماع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اصغر سرحد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 جمش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كب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 1382.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پترسون، ما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كل و همكاران،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عقل و اعتقاد 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احمد نراق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ابراه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سلطان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چ چهارم، تهران، طرح نو، 1384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پوت،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سامونز، آ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روانشناس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و جرم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دكتر داود نجف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توانا، تهران، 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زان، 1383.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فرد، زهرا، انصار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زاده، سلمان، كرم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پره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ز، فر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اد، «تعامل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و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آن بر هو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زنان در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پژوهش زنان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سال هشتم، 2 تابستان 1389 ، ص189-209.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جلال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باقر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اصل، رضا، «پ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جرائم و انحرافات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</w:t>
      </w:r>
      <w:r w:rsidRPr="006C7573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مجلس و پژوهش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تابستان 1386 - ش 55 ص121 </w:t>
      </w:r>
      <w:r w:rsidRPr="006C7573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156.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حسن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دكتر ابراه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حقوق و امن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در فضا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بر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مؤسسه فرهنگ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مطالعات و تحق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قات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الملل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ابرار معاصر، 1384.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فوس، 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وبرت،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نگاه فلسف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به 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ملائكه، تهران، گام نو، 1383.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دهخدا،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اكبر،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لغت نامه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دانشگاه تهران دانشكده ادب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وعلوم انسان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1337.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ذكائ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 سع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«جوانان و فراغت مجاز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فصلنامه مطالعات جوانان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6، ص 25-1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رابرتسون، رونالد،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جهان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شدن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كمال پولاد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ثالث، 1380.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سبحان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جعفر، «رابطه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اخلاق (پرورش فضائل و تعد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غرا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پشتوانه اجرا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ارزشها)»،</w:t>
      </w:r>
      <w:r w:rsidRPr="006C7573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كلام اسلام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31، ص4-15.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درض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نهج البلاغة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هجرت، 1414 ق، ص 397.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اكبر،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روانشناس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پرورش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آگاه، پانزدهم، 1385.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صدوق‏،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ون اخبارالرضا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(ع)، چ دوم، قم، موسسه انتشارات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 علمدار، 1388، ج 2.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صانع پور، مر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فلسفة اخلاق و 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آفتاب توسعه، 1382.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طباطبائ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دمحمدحس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الم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زان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چ سوم، تهران، دار الكتب الاسلام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ه، 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2.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طوس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نص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الد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اخلاق ناصر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خوارزم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عامل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سع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درضا، «جهان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شدنها مفاه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نظر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ها»،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ارغنون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تابستان 1383 - ش 24، ص 1- 50.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فتحعل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آموزه ها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بن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 اخلاق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مركز جهان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علوم اسلام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1379، ج 1.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فراهان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جلال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«صلاح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مجله فقه و حقوق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11، ص 91-120.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گدازگر، حس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موس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پور، عل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مراد، «بررس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تأث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رات 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نترنت بر نسب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هنجار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جهان نگر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دانشجو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دانشگاه تبر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علوم اجتماع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مشهد، دانشگاه فردوس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مشهد، ش 3، ص183-203.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مجلس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محمدباقر،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بحار الأنوار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روت، داراح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اء التراث العرب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1403 ق، ج ‏52.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مجموعه نو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اخلاق كاربرد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چالشها و كاوشها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نو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 در اخلاق عمل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پژوهشگاه علوم و فرهنگ اسلام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1386.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مجموعه نو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نترنت و آس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 ها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اجتماع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راسته مسعود كوثر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سلمان، 1387.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محسن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دكتر منوچهر،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جامعه شناس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جامعة اطلاعات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دار، 1380.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مصباح، محمدتق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اخلاق»،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قبسات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سال چهارم، ش 13، ص30-38.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آموزش عقا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چ س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زدهم، تهران، سازمان تبل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 اسلام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1374.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زگرد «آزاد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،اخلاق و امن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اطلاعات در فضا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بر»،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كتاب ماه كل</w:t>
      </w:r>
      <w:r w:rsidR="00B06DB7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ات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85، 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1383، ص 36-57.</w:t>
      </w:r>
    </w:p>
    <w:p w:rsidR="006C7573" w:rsidRPr="006C7573" w:rsidRDefault="006C7573" w:rsidP="006C7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نراق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ملامحمدمهد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6C7573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C7573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معراج السعادة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چ چهارم،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روت، اعلم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06DB7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تا.</w:t>
      </w:r>
    </w:p>
    <w:p w:rsidR="006C7573" w:rsidRPr="006C7573" w:rsidRDefault="006C7573" w:rsidP="006C7573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Nielsen, Kai, Religious versus secular morality, in ethics without God, London, Pemeberton books</w:t>
      </w:r>
      <w:proofErr w:type="gramStart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,1937</w:t>
      </w:r>
      <w:proofErr w:type="gramEnd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6C7573" w:rsidRPr="006C7573" w:rsidRDefault="006C7573" w:rsidP="006C7573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Richard A. </w:t>
      </w:r>
      <w:proofErr w:type="gramStart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>Spinello ,</w:t>
      </w:r>
      <w:proofErr w:type="gramEnd"/>
      <w:r w:rsidRPr="006C7573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cyberethics ( morality and low in cyberspace), USA,Jones and bartilett science, second edition, 2002.</w:t>
      </w:r>
    </w:p>
    <w:p w:rsidR="0097337D" w:rsidRDefault="0097337D"/>
    <w:sectPr w:rsidR="0097337D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A"/>
    <w:rsid w:val="006C7573"/>
    <w:rsid w:val="0097337D"/>
    <w:rsid w:val="00B06DB7"/>
    <w:rsid w:val="00B86F9F"/>
    <w:rsid w:val="00C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913EB4-3FBA-4737-97D2-6E6FD6B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C757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757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73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7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tecenter">
    <w:name w:val="rtecenter"/>
    <w:basedOn w:val="Normal"/>
    <w:rsid w:val="006C7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6C7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75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57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C7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6C7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.koosh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8234</Words>
  <Characters>46936</Characters>
  <Application>Microsoft Office Word</Application>
  <DocSecurity>0</DocSecurity>
  <Lines>391</Lines>
  <Paragraphs>110</Paragraphs>
  <ScaleCrop>false</ScaleCrop>
  <Company/>
  <LinksUpToDate>false</LinksUpToDate>
  <CharactersWithSpaces>55060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4</cp:revision>
  <dcterms:created xsi:type="dcterms:W3CDTF">2018-01-23T09:42:00Z</dcterms:created>
  <dcterms:modified xsi:type="dcterms:W3CDTF">2018-12-05T10:41:00Z</dcterms:modified>
</cp:coreProperties>
</file>