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bookmarkStart w:id="0" w:name="_GoBack"/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بررس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مقا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سه‌ا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اصول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عرفان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tbl>
      <w:tblPr>
        <w:tblW w:w="2025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</w:tblGrid>
      <w:tr w:rsidR="00495D82" w:rsidRPr="00495D82" w:rsidTr="00495D82">
        <w:trPr>
          <w:tblHeader/>
          <w:jc w:val="right"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  <w:vAlign w:val="center"/>
            <w:hideMark/>
          </w:tcPr>
          <w:p w:rsidR="00495D82" w:rsidRPr="00495D82" w:rsidRDefault="00495D82" w:rsidP="00495D82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sz w:val="28"/>
                <w:szCs w:val="28"/>
              </w:rPr>
            </w:pPr>
          </w:p>
        </w:tc>
      </w:tr>
    </w:tbl>
    <w:p w:rsidR="00495D82" w:rsidRPr="00495D82" w:rsidRDefault="00495D82" w:rsidP="00495D82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vanish/>
          <w:color w:val="000000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95D82" w:rsidRPr="00495D82" w:rsidTr="00495D82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495D82" w:rsidRPr="00495D82" w:rsidRDefault="00495D82" w:rsidP="00495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</w:pPr>
          </w:p>
        </w:tc>
      </w:tr>
    </w:tbl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سال سوم، شماره چهارم،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زمستان 1391، صفحه 39 ـ 54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Ma'rifat-i Ākhlaqī, Vol.3. No.4, Fall &amp; Winter 2012-13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مهد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فص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ح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رامند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bookmarkStart w:id="1" w:name="_ftnref1"/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"http://marefateakhlagi.nashriyat.ir/node/127" \l "_ftn1" \o "" </w:instrText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495D82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*</w:t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"/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مقاله با هدف بررس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تحل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اصول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اصول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معنا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قواعد تجو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عام و كل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در فرا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تحول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به‌كار گرفته 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‌شود، ‌و تع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زان انطباق و عدم انطباق آنها با 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گر سامان 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افته است. پرسش اصل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است كه اصول و قواعد كل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حاكم بر دو فرا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چه 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زان انطباق دارند. روش پژوهش، روش كتابخانه‌ا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‌تحل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محتوا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كتب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و عمدتاً‌ عرفان عمل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استنطاق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متون برا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دست آوردن اصول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مقا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سه آن دو دسته اصول بود. نتا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 تحق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ق حاك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آن بود كه عل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‌رغم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ماه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دو فرا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اقتضا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اصول مشترك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مانند تدر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ج، شر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عت‌محور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ترابط تأث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ظاهر و باطن را دارند، اما در بخش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اصول ناهمپوشان هستند. دو اصل توده‌محور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پرورش تعقل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اصول مختص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اصول فردمحور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ترتب اندراج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،‌ انحلال فرد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و لزوم مرشدمحور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اصول مختص ‌ترب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شناخته شد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دواژه‌ها: اخلاق،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ت، عرفان،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اصول ترب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p w:rsidR="00495D82" w:rsidRPr="00495D82" w:rsidRDefault="00B11B01" w:rsidP="00495D82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5" style="width:0;height:.75pt" o:hralign="right" o:hrstd="t" o:hr="t" fillcolor="#a0a0a0" stroked="f"/>
        </w:pict>
      </w:r>
    </w:p>
    <w:bookmarkStart w:id="2" w:name="_ftn1"/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"http://marefateakhlagi.nashriyat.ir/node/127" \l "_ftnref1" \o "" </w:instrText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495D82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* </w:t>
      </w:r>
      <w:r w:rsidRPr="00495D82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"/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دانشجو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دكترا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معارف 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اخلاق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دانشگاه معارف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                     </w:t>
      </w:r>
      <w:hyperlink r:id="rId4" w:history="1">
        <w:r w:rsidRPr="00495D82">
          <w:rPr>
            <w:rFonts w:ascii="Times New Roman" w:eastAsia="Times New Roman" w:hAnsi="Times New Roman" w:cs="B Mitra" w:hint="cs"/>
            <w:color w:val="000080"/>
            <w:sz w:val="24"/>
            <w:szCs w:val="24"/>
            <w:u w:val="single"/>
          </w:rPr>
          <w:t>mahdi_fasihi56@yahoo.com</w:t>
        </w:r>
      </w:hyperlink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افت: 27/ 12/ 1391 ـ پذ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رش: 9/ 2/ 1392</w:t>
      </w:r>
    </w:p>
    <w:bookmarkEnd w:id="0"/>
    <w:p w:rsidR="00495D82" w:rsidRPr="00495D82" w:rsidRDefault="00B11B01" w:rsidP="00495D82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6" style="width:0;height:.75pt" o:hralign="right" o:hrstd="t" o:hr="t" fillcolor="#a0a0a0" stroked="f"/>
        </w:pic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مقدمه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اخلاق و عرفان دو دانش كهن، با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علم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‌قو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ادب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هستند. اما ازآنجاكه اخلاق و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دانش‌ها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ناظر به عمل هستند،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دانش توجه به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چگونگ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تحول اهم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 دارد. نگاه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آثار پرشمار هر دو عرصه نشان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كه 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تحول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به‌عنوان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عنوان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اخلاق طبقه‌بند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كرده‌اند و افراد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محاسب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خواجه عبدالله انصار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جز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دسته دانسته‌اند. 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عرفا در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تحول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پرورش فضائل و ملكات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به‌عنوان 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‌شدن توجه شا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داشته‌اند.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ن‌رو، مقام اخلاق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منازل ده‌گانه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منازل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دو، نشان از درهم‌تن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 و اخلاق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دو را به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معنا گرفته‌اند. اما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دانش،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‌رغم مشتركات و مشابهات فراوان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 دانش جدا و با مسائل و اهداف و موضوعات متفاوت هستند.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مقاله، مجال سخن در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ارتباط و نحوة ترابط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دانش با هم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اما مصلحت تفك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علوم و تخصص‌گرا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اقتضا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متخصصان دو عرصه نگاه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شفاف‌تر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دو دانش،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باشند.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‌شك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 شفاف به انسجام هرچه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دو دانش و 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تاً‌ به كارآمد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انجام وظائف محوله و كارو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مدد خواهد رساند.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منظر،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تلاش كوچك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بازشناس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 عرصة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ازآنجاكه اصول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راهبرد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گاه‌ها را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تحول دارند، كوشش شد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نقطه عز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مت استراتژ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ك، نگاه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پرسش اصل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اصول و قواعد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حاكم بر دو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چه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انطباق دارند؟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رهگذر، به ‌تحل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محتوا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كتب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عمدتاً‌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استنطاق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متون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به‌دست آوردن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مقا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سة آن دو دسته اصول پرداخت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اخلاق و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اخلاق» جمع خُلق است و «خلق» در اصطلاح علما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اخلاق، ملكه‌ا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نفس انسان شكل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موجب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افعال به سهولت و بدون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از آن صادر شوند (مسكو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راز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1401ق، ص 25؛ نراق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‌تا، ص 24). بنابرا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موضوع دانش اخلاق از نگاه عالمان اخلاق، ماه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ملكات نفسان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چگونگ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آنها و از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بردن رذائل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خواجه طوس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 اخلاق را چن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معرف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علم است بدان كه نفس انسان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چگونه خلق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اكتساب توان كرد كه جملگ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افعال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به ارادت او از او صادر 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‌شود جم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و محمود بود، پس موضوع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علم نفس انسان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بود از آن جهت كه از او افعال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ل و محمود 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قب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ح صادر تواند شد به حسب ارادت او (طوس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1360، ص 48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بازاند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تحل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مفهوم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«‌اخلاق» موجب شده 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 موضوع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را به فراتر از صفات و ملكات،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دامنه وس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 افعال و كارها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بكشانند. به‌عنوان مثال، استاد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مصباح</w:t>
      </w:r>
      <w:r w:rsidRPr="00495D82">
        <w:rPr>
          <w:rFonts w:ascii="Cambria" w:eastAsia="Times New Roman" w:hAnsi="Cambria" w:cs="Cambria" w:hint="cs"/>
          <w:i/>
          <w:iCs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معاصر موضوع اخلاق را اعم از ملكات دانسته است: «موضوع اخلاق اعم از ملكات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همه كارها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كه متصف به خوب و بد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 و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كمال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فراهم آورند،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موجب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رذ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و نقص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نفس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‌شوند، دربر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رد» (مصباح، 1372، ج 1، ص 198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روشن است که مفهوم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وابسته به گستره و قلمرو مفهوم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‌»اخلاق» است. اگر اخلاق تنها ناظر به فضائل و رذائل معنا شود، چنانچه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قدما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باور بودند، 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دگرگون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جهت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فضائل و از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بردن رذائل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ت‌منش مدنظر خواهد بود. اما اگر گستره و قلمرو اخلاق هر سه ساحت شناخت، عواطف و رفتارها باشد، چنانچه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اخلاق‌پژوهان مسلمان معتقدند،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مراد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نوع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دگرگون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انسان است كه دامنة آن سه عرصه فكر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عاطف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رفتار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دربر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(باقر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1377، ص 11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در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متفكران غرب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دو تلق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دارد: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عنوان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«ترب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منش»،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پرورش فضائل در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آموزش ارزش‌ها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معتقد است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آموزش اصول ارزش‌ها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است.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غرب تلاش كرده‌اند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كنند كه جامع هر دو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باشد؛ آنها معتقدند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در‌صدد است رشد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ارتقا دهد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منش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به‌وجود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اورد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فضائل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دانش‌آموزان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(Oser &amp; Reichenbach, 1994, p. 392).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به‌نظر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جامع دارد و شامل تمام ابعاد وجود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از جمله رفتارها و ملكات حت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بعد 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«ترب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آموزش اصول و ارزش‌ها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پرورش 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ش‌ها و فض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است» (داود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1389، ص 11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هر سه بعد فكر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عاطف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رفتار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شامل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بعد فكر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ناظر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فرد، جهت تم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امور خوب از بد است. به‌عبارت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توسعة عقل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ابعاد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خواهد بود. بنابرا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و تقو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قدرت شناخت و ارز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امور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ابعاد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 جهت عاطف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احساس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لازمة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دسته‌ا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احساسات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فرد پرورده شود. از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قدرت كنترل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عواطف منف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حسد و غضب كه مانع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است، در انسان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شود. اما از جهت رفتار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ناظر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فرد علاوه بر داشتن قضاوت‌ها و ارز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و عواطف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بتواند به مقتضا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دستورات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عمل كند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عرفان و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عرفان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عرفان» در لغت به‌معنا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«شناخت و آگاه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است. اما در اصطلاح به نوع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معرفت اطلاق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نوع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 شهود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حضور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راه اشكال گوناگون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سلوك معنو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موضوع اصل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‌خدا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متعال، اسماء، صفات و افعال است. استعمال واژة «عرفان» ناظر به دو معنا به‌كار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‌رود. «عرفان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». «عرفان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كه 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‌آن «علم مشاهده»، «علم مكاشفه»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«عرفان علم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اطلاق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نوع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جهان‌ب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شامل خداشناس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جهان‌شناس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انسان‌شناس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(مطهر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1369، ج 23، ص 328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ابن‌فنار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 عرفان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را، كه نام آن را علم تصوف و سلوك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‌گذارد، را به متعلق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علم بازم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‌گرداند او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ن‌باره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علوم باطن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اگر متعلق به تعم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باطن از راه تعاملات قلب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به‌وس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له پ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راستن آن از امور مهلك و آراستن آن به امور نجات‌بخش باشد،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علم تصوف و سلوك است. اما اگر دانش باطن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وابسته به چگونگ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ارتباط حق به خلق و جهت گستردن كثرت از وحدت حق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ق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باشد، در ع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تبا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آنها، ا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علم مكاشفه و مشاهده خواهد بود (فنار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1384، ص 27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دربارة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دو تلق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دارد: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چنانچه محقق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فنار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بالا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كرد، به‌معنا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 و شناخت مراحل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سلوك و منازل و مقامات سلوك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به‌معنا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ط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مراحل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سلوك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مقامات و منازل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B11B01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لازم است كه مراد از «عرفان» در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نوشتار، عرفان عمل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است؛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تلاش شده است تا اصول و قواعد كل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تجو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حاكم بر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سلوك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به‌دست آورده، آن را با اصول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مقا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نما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در باب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برخ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را به‌گونه‌ا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كرده‌اند كه بس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نزد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به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به‌عنوان مثال،</w:t>
      </w:r>
      <w:r w:rsidR="00495D82"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95D82"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ابومحمد حر</w:t>
      </w:r>
      <w:r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="00495D82"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تصوف عبارت از: «در رفتن است به هر خو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كوتر باشد و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 شدن است از هر خو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زشت‌تر باشد» (عباد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مروز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1362، ص 33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مجموع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مجموعه تداب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برنامه‌ر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‌شده‌ا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به‌واسطه‌ آنها آدم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 در راه پرورش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ش، از مراتب پست و دن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عبور كرده و از چنگ نفس امّاره رها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و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مان، اخلاص و عشق به خدا را تجربه كند. همزمان با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مودن منازل، حالات و مقامات، جذبه‌ها، نفحه‌ها و حالات روحان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و به فنا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‌الله و بقا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بالله بار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اصول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اصل» در علوم گوناگون معان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اما در عرصه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«اصل»، به قواعد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اطلاق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که هر کار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تک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توجه به آن انجام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نکته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در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دق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«اصول»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اختلاف‌نظر وجود دارد: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گفته شده: «اصول عبارت است از تک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ه‌گاه‌ها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از عوامل موجود در 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استخراج شده است و هم آن را به‌عنوان ملاک عمل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نظر گرفت» (هوش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ار، 1331، ص 56). در تعر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اصول تعل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ابزار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تلق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که با استفاده از آنها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به‌موقع و در 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حال با روشن‌ب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کاف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تصم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 و وظا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به‌خوب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انجام دهند. اما منظور ما از «اصول»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نوشتار «قاعدة عامه‌ا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آن را به‌منزلة دستورالعمل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گرفت و از آن به‌عنوان راهنما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 در تداب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كرد» (باقر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1370، ص 68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نكته مهم در فهم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معمولاً‌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لسوفان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چرخه سه‌مرحله‌ا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اصول و روش‌ها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معتقدند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گزاره‌ها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ناظر به واقع هستند كه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بعد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واقع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روان‌شناخت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سا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امور هستند. بر اساس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واقع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ت‌ها، كه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 دارند،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اصول و قواعد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به‌دست آورد 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به نوبة خود منشأ‌ استخراج روش‌ها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اهداف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موردنظر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‌شوند.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حد فاصل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روش‌ها هستند. از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ك‌سو، از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اخذ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 و از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خود خاستگاه روش‌ها هستند. با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توض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مراد ما از «اصول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 قواعد عام و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با 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معرفت‌شناخت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به‌دست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خود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روش‌ها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كه به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كمك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تا مراحل، منازل و مقامات سلوك را ط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كرده، به سرمنزل مقصود برسد. به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قواعد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كه از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استنتاج و منشأ اتخاذ روش‌ها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اصول مشترك در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عرفان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هر دو نوع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وجه مشترك دارند و آن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است. هم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مشترك هستند. بنابرا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هر دو از قانون‌مند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مشترك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‌برند.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ما با دو دسته اصول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مواجه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م: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اصول مشترك كه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هر عرصه‌ا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نها اصول و قواعد عام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هستند و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اصول و قواعد مختص، كه بسته به عرصه‌ا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آن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‌خواهد، به وقوع بپ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وندد، به جهت اختلاف در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خواهد بود (داود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1389، ص 78).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به اهم اصول عام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كه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دو گونه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مشترك هستند، اشاره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1.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تدر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هر نوع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لحاظ شود، اصل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است. در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اخلاق و عرفان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شا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به‌نوع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ندة متخصصان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هم به جهت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دارد، 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نسبتاً ‌دق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ضرورت توجه به اصل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دارد. نكته اول آنكه، به اعتقاد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سنت و قانون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(غزال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‌‌تا، ج 1، ص 88). دوم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ضمن پذ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اصل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نسبت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دو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اتخاذ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‌كند؛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 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دو لحاظ اتخاذ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‌شود: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لحاظ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به‌تدر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به او اعطا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جهت كه علوم طبقه‌بند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قبال اصل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دارد: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 مربوط به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 اخلاق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عام، مراد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ج، همان هماهنگ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 رشد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كه همان‌گونه كه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به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رشد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همگام با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رشد محقق شود؛ نم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رشدشناخت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عاطف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كودك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پس افتاد.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عام در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دارد كه خداوند بنابر سه سنت عام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(همان)، سنت اتقان صنع (غزال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1994م، ص 53) و سنت رعا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مصلحت مخلوقات (غزال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‌‌تا، ج 3، ص 27)، همه صفات و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اعطا نموده است.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به‌تدر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‌بودن خصوص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توانمند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داشته باشد. چن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لازمة 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انسان است؛ چراكه اگر عقل كودك در رحم مادر به كمال برسد، چون زاده شود، چنان متح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خواهد شد كه حت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ورود را انكار خواهد كرد، 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ناگهان با مح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روبه‌رو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كه 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به مح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او شب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نخواهد بود (غزال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1994م، ص 23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اما چنانچه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اصل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به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تعل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و تعلم در آثارش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كرده است. مثلاً،‌ هنگام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‌كه از آموزش علوم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اشاره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هرگاه از پرداختن به نفس خو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و تطه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آن آسود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توانست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گناه درون و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 را وانه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آموزش واجبات كفا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بپرداز و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كار،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را رعا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كن (غزال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‌‌تا، ج 1، ص 39-40).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نگاه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طبقه‌بند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بازم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‌گردد. پس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علوم و دانش‌ها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كه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آن لازم است فرا‌گ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او آموخته ‌شود.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علوم را به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فراگ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2.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شر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عت‌محور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اصل مشترك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در انواع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درهم‌تن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با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هم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رباز تاكنون منشأ مباحث علم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متخصصان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عرصه بوده است. 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امروزه با عنوان مباحث اخلاق سكولار مورد بحث قرار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به نوع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بازگشت به نقض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اصل دارد. از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ك‌سو، در عرفان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دغدغة عمده عارفان ناب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‌انحرافات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كه در 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عارف‌نما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در جدا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و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از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جلوه‌گر شد. اما عارفان ناب، به‌و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عارفان 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بزرگ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س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دح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در آمل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عارفان متأخر، به شدت با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انحراف به 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برخاستند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هر حال، آنچه از بررس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عرفا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به‌دست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آنان معتقدند در مراحل سلوك، 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چ‌گاه نبا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عملى در تضاد با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انجام 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چنان‌كه عملى با آنچه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مطرح مى‏كند در تضاد باشد، در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سالك را به مقصد نخواهد رساند.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براى نمونه، به چند مورد اشاره مى‏كن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ابن‌عربى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مى‏گو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جاده‏اى است روشن، كه رهگذر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ك‏بختان و طر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خوشبختى است، هركه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 برود، به رها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ى مى‏رسد و هر كه از آن روى برگرداند، سرنوشتى جز هلاكت نخواهد داشت (ابن‌عرب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‌تا، ج 3، ص 69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قش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رى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مى‏گو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عت، امر بود به التزام بندگى و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قت، مشاهدت ربوب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بود. هر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كه مؤ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نباشد به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قت، پذ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رفته نبود و هر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كه بسته نبود به شر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با 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حاصل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ابد» (قش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1361، ص 127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3.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تغ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 ظاهر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لازم به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خاستگاه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و اصل تحول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پذ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 است؛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ترابط تأث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ظاهر و باطن آدم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مراد از «ظاهر» تمام شئون و امور مشهود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از انسان سر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‌زند و مظهر آن تن ناسوت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مراد از «باطن» شئون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قابل مشاهده با چشم سر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مانند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تفكر و امور 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انسان. بنابرا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انسان دو لا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به شدت بر هم تأث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گذارند (باقر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1370، ص 22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ظاهر انسان در ترس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حالات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تأث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دارد، پس توجه به تغ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ظواهر پد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دو عرصه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مهم است.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به‌عنوان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روش گفته شده اگر حل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تحلم كن و اگر 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تباك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كن. اساساً روش تحم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تلق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نفس، كه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توجه است، ناش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اصل است.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ذكر لسان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به‌عنوان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اثر جوارح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بر خلوت‌گز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به‌عنوان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عامل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در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تأث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فراوان دارد، تأك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4.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تحول باطن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اصل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برخاسته از مبنا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فوق، تحول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اگر انسان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باطن او در تغ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ظاهر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‌اش تأث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دارد، پس قاعده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است كه لازم است درون انسان تحول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توجه است.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خداوند در 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 xml:space="preserve">چشم اشكبار مؤمن دل معرفت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افته، ‌او را گواه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‌آورد. چنانچه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چشم جامد كافر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دل سنگوارة‌ او را شاهد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‌طلبد: «وَ إِذا سَمِعُوا ما أُنْزِلَ إِلَ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الرَّسُولِ تَر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أَعْ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نَهُمْ تَفِ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ضُ مِنَ الدَّمْعِ مِمَّا عَرَفُوا مِنَ الْحَقِّ» (مائده: 83). بر اساس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هم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 در عرصه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روش‌ها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برشمرد. مثلاً،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در عرفان بر ذكر خف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تصف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باطن تأك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‌شود؛ شاهد بر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5.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اصول مختص در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چنانچه اشاره شد،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ك‌سو، برخاسته از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از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خود خاستگاه استنتاج روش‌ها و 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ن‌‌رو، به‌تبع تفاوت در 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گوناگون خواهد شد.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بخش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قواعد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عمل، كه آنها را «اصول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نام نهاد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دو گونه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مشترك است. اما به جهت اختلاف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روش‌شناخت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اخلاق و عرفان،‌ ما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اصول مختص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مواجه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به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مهم‌تر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مختص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سپس اصول مختص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اجمال اشاره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الف. اصل توده‌محور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عالمان اخلاق، حاك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است كه مخاطب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توده مردم هستند (شامل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1386، ص 25). اساساً‌ آموزه‌ها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مخاطب آن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تمام اقشار و اصناف باشند.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نه، داشتن استعدادها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ش‌فرض‌ها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همة توده‌ها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عموم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‌مردم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اندازه ظرف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فرهنگ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بهره‌مند گردند. پس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گفت: بهره‌مند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منحصر به 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قشر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برخلاف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تنها مختص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استعدادهاست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ب. اصل پرورش تعقل اخلاق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B11B01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اصول اساس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شا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شكل خاص و با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غلظت در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نتوان نشان از آن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افت، اصل تعقل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كنار پرورش فضائل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پرورش تعقل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به‌معنا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رشد دادن و تقو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توانا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و داور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تصم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دربارة مسائل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به‌طور مشخص نقش عقل در فرا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اولاً،‌ اصول و خطوط كل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فض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لت‌ها و رذائل رفتار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و ناشا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مانند قبح ظلم و حسن عدل را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روشن كند. ثان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اً، ازآنجاكه عقل نم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همة مصاد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رفتارها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پسند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را در تمام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 تشخ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دهد، انسان را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تشخ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خوب از بد و زشت از 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به سو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وح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راهنما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ثالثاً،‌ عقل پس از در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هدا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اله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در تطب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بر موارد و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ت‌ها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(داود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1389، ص 87ـ 88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عقل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حضور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فعال دارد؛ رشد عقل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خود، بخش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رشد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لازم به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بدان معنا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حضور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ندارد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 عقل و تعقل صورت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‌رغم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تصور نادرست كه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تعقل در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ندارد،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تعقل به‌عنوان راهنما و مع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حضور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بنا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 عرفان نظر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به‌و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عرفان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ابن‌عرب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عقل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مبرهن‌نما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آموزه‌ها و 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شهود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اما نكته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آنجاست كه از آن جهت كه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ساحت شهود و دل است و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ساحت، ورا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طور عقل و تعقل است، حضور عقل، حضور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حاش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پس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كه چون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عالم شهود است، عقل پس از شهود عارف در مقام 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توج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شهود به‌عنوان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حضور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ابد،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حضور ندارد؛ 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فضا وراء طور عقل است.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مراد از عقل، عقل فلسف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بنابرا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عقل فلسف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ارسطو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نتواند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تجربه‌ها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مبرهن سازد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درك كند، اما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قاً‌ رشد و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تعقل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فلسف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بخش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اصول مختص در ترب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عرفان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</w:rPr>
        <w:lastRenderedPageBreak/>
        <w:t xml:space="preserve">1. 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اصل فردمحور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495D82" w:rsidRPr="00495D82" w:rsidRDefault="00B11B01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اصول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بدون لحاظ شرا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خاص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تمام تود‌ه‌ها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‌اعمال كرد. اما در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برخلاف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دستورات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همه توص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ه ‌كرد.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اصول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تمام اصحاب عرفان عمل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بدان ملتزم بوده‌اند و شاگردان خود را بدان سفارش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‌كردند،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بود كه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نفوس مستعد است.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برنامه‌ها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سلوك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در اخت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همه توده‌ها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نهاد. ازا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استادان عرفان، در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اسرار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برنامه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خود، كاملاً فردمحور عمل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‌كردند. شا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بتوان بر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كه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ظرف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تنها برخ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خواص را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تحمل آن است، از داستان خضر و موس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شاهد آورد. هنگام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موس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‌بن عمران(ع) از جناب خضر(ع) درخواست همراه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بهره‌گ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‌كند، با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پاسخ از سو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مواجه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 كه تو را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همراه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من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«إِنَّكَ لَنْ تَسْتَطِ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عَ مَعِ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صَبْراً» (كهف:67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</w:rPr>
      </w:pPr>
      <w:r w:rsidRPr="00495D82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</w:rPr>
        <w:t xml:space="preserve">2. 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اصل ترتب اندارج</w:t>
      </w:r>
      <w:r w:rsidR="00B11B01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مقامات و منازل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اصل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مهم‌تر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اصول،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ترتب و توال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مقامات و منازل وجود دارد. برخلاف مفاه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هم ندارند؛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 كه لازم باشد از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مفهوم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تحول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آغاز كن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و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مشخص به‌صورت منظم و ترتب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را ط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مقامات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هم مترتب‌اند.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اندراج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دو نكته وجود دارد: اول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نكه، مقامات مترتب بر هم هستند و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ترتب به‌ صورت اندراج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اصل ترتب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مقامات و منازل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كتاب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منازل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خواجه عبدالله انصار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كه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آثار كلاس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عرفان عمل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‌است، به‌خوب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است. اصل ترتب در عرفان اشاره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دارد كه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مودن 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منازل و مقامات، متوقف بر به فعل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رساندن درجات و منازل قبل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و تا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مرتبه از منازل به فعل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نرسد، حركت به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منزل بعد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خواهد بود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خواجه انصار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«لا تصح النها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الا بتصح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البدا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كما انّ الب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لا تقوم الا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الأساس» (انصار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1361، ص 28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در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برخاسته از نگاه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عرفا به انسان دارند؛ آنان برخلاف فلاسفه، كه نفس را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برش عرض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سه قوه شهو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غضب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عاقله تقس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‌كنند، اتصاف به فضائل را در اعتدال قوا و اتصاف به رذائل را در تفر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ط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افراط آن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‌دانند، مراتب وجود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برش طول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‌كنند؛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مراتب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مراتب بالا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بر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افتن مراتب بالا ناگز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از به فع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مراتب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براساس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نگاه، انسان داراى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نفس 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وانى،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اثر روحانى و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سر الهى است، كه 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سه مرتبه، داراى سه رو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و توجه هستند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1. 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توجه به تدب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مادون؛ 2. توجه به 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ذات؛ 3. توجه به مافوق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براى كسبِ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 و استعداد،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نُه وجه، به علاوه مرتبة «احد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ت»، مراتب ده‌گانه انسانى را تشك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مى‏دهند. هر كدام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مراتبِ ده‌گانه، خود داراى مراتب ده‌گانه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گرى هستند، كه مجموع آنها به صد مى‏رسد. سالك،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مراتب را از ابتدا؛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عنى از مرتبه نفس 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وانى آغاز كرده، در انتها به مرحلة سرّ الهى برسد و با طى آن به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قت دست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(حك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1340، ص 231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توض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 نكته دوم،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نحوة‌ ترتب منازل و مقامات شارح شه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منازل‌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مول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 xml:space="preserve"> عبدالرزاق كاشان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مقامات، به نكتة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دق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به‌خوب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چگونگ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ترتب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مقامات صدگانه مطرح‌شده از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خواجه ‌است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كاشان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معتقد است: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موجود در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مقامات هر قسم،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 است كه سالك پس از عبور از هر مقام و وصول به مقام بالاتر،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فروعات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مقام سابق را داشته باشد. به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مقامات بر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مانند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اجناس بر انواع است كه در آن فرد 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صورت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فرد سافل، و فرد سافل رتبه‌ا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فرد 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كاشان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تصر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مقامات و منازل سلّم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نردبان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ست؛ هر كس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پله بالاتر 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كاملاً از پله قبل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گذشته باشد و بدان وابسته نباشد.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از مقامات صدگانه بر حسب درجات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سا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اقسام دارد، به ده قسم تقس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از حاصل ضرب مقامات در اقسام، هزار مقام پد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تقس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درجات مقامات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بدا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قرار دارند، در سا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اقسام روشن است. اما درجات مقامات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قرار دارند، در اقسام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آن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 حاصل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كه هر مقام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‌كه در 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قرار دارد، صورت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دارد. هرچند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 صورت و صورت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در 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است فاصلة 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دارد؛ چراکه شخص مبتد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افعالش را خود انجام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‌دهد، در حال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صدور افعال از شخص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بالحق است. «فإن ترتب هذه المقامات و اندارج بعضها تحت بعض كترتب الانواع و الأجناس و اندارج بعضها تحت بعض، فللعال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صورة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السافل و للسافل رتبة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لاكترتب مراق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السلم، حت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كون صاحب العال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السافل» (كاشان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1385، ص 120-121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3.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انحلال فرد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</w:p>
    <w:p w:rsidR="00495D82" w:rsidRPr="00495D82" w:rsidRDefault="00B11B01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اصول اساس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چالش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اصل انحلال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است. از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جهت كه غا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قصوا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عرفان، رس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فناء است. ازا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مترب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‌كوشد به مرور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را از دست داده و به سمت وحدت حق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حركت كند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="00495D82"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است</w:t>
      </w:r>
      <w:r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س</w:t>
      </w:r>
      <w:r w:rsidR="00495D82"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تب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دق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ق، معتقد است: در تجربه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انفس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تكثر و تما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راه ندارد. اگر قرار باشد كه در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شخص به سمت ادراك «واحد»، «نفس كل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»، «مطلق»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خدا باشد، با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پذ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 كه نفس جزئ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آزما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نده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تجارب عرفان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را از دست بدهد؛ 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جدا مانده و جدا‌گانه نباشد و بر اثر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وست به واحد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مطلق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خدا، هو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را از دست بدهد (است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س، 1384، ص 112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چنانچه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است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س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خاطرنشان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از مبنا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 ‌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وحدت شخص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به دست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(همان، ص 114). براساس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مترب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‌كوشد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كم‌كم از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خال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و تجربه درون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وستن به خدا را تجربه كند.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در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انات امام خم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(ره) به‌خوب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است؛ آنجاكه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مبحث اندكاك وجود در حق را طرح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(امام خم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1372، ص 48).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انان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خودب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همان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كه لازمه ضرور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از نگاه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نقص شناخته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در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راستا، نقل شده عرفا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دوست از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به من و خودپرست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اعراض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‏کردند و من و ما نم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‏گفتند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ش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خ ابوسع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اکابر عرفا، هنگام صحبت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خوددار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ذکر ضم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من، از ضم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استفاده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‌کرده است (محمدبن منور، 1366، ج 1، ص 15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توجه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ضرور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انحلال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ون، كه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آس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روان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اشتباه شود. 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شدن كه نت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جة آن 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پوچ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انگار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آس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در آن شخص خود را نه به جهت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وستن به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متعال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منحل شدن در مطلق وجود ناد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‌انگارد، بلكه به جهت مشكلات روح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خود را 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‌انگارد. او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چون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ندارد، نه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نكه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بالاتر و والاتر هست، شده است. اما در انحلال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 خود را نم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ند؛ چون در ضمن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بالاتر مندك شده و بود او در بود آن 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واحد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</w:rPr>
        <w:t xml:space="preserve">4. 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لزوم مرشدمحور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اصول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لزوماً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تحت مراقبت و 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استاد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باشد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مول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 xml:space="preserve"> عبدالصمد همدان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معتقد است: گرچه در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اهل سلوك در باب ضرورت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در سلوكش اختلاف‌نظر وجود دارد، اما اكثر اهل عرفان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ضرورت اصرار دارند: «وب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اهل السلوك خلاف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انه هل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ضطر المر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سلوكه ام لا، واكثرهم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وجوبه...» (همدان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1381، ج 1، ص 381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 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مول</w:t>
      </w:r>
      <w:r w:rsidR="00B11B01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 xml:space="preserve"> عبدالصمد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ضرورت را از روا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نهج البلاغه</w:t>
      </w:r>
      <w:r w:rsidRPr="00495D82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استفاده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 از آوردن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فراز از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نهج‌البلاغه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: «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رَحِمَ اللَّهُ امْرَأً سَمِعَ حُكْماً فَوَعَى وَ دُعِ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إِلَى رَشَادٍ فَدَنَا وَ أَخَذَ بِحُجْزَةِ هَادٍ فَنَجَا» (مجلس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1404ق، ج 66، ص 310). و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د: «و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فهم من كلامه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السلام، وجوبه... و ظاهر ان طر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المر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مع الش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اقرب 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الهدا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و بدونه اطول و اقرب 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الضلال عنها فلذلك قال فنجا،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النجاة معلقة به» (همدان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1381، ج 1، ص 381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البته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مرشد در هرگونه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اركان اساس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همچن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اما جا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حد وعظ، ارشاد، و آموزش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اما در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لزوم وجود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حد عرفان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هر شخص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با اتكا به دانش خود، به دستورات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 كند.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باب سر لزوم استاد و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نكته درست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كرده‌اند. گفته شده كه ضرورت مرب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استاد خاص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دل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به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كه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درون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ضروت استاد و مرشد را به همراه دارد (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1389، ص 144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نت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جه‌گ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</w:t>
      </w:r>
      <w:r w:rsidR="00B11B0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جمع‌بند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گفت: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‌رغم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مقتضا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هر دو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هستند، از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مجموعه قانون‌مند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اصول عام و مشترك تبع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از جمله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نكه،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اخلاق و عرفان امر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ذومراتب است. دوم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نكه، به لحاظ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‌ه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تحول و تغ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فارغ از ملاحظات و تق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دات شرع مقدس و نوران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حاصل گردد. سوم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نكه، با عنا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مبان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انسان‌شناخت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‌رابطه‌ا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 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ظاهر و باطن انسان برقرار است كه هرگونه برنامه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قانونمند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بهره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علاو بر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مشترك،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دو اصل مختص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توده‌‌محور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تعقل‌گرا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عنوان مهم‌تر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مختص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كرد.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ضرورت‌ها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توده مردم در هر سطح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آن هستند. همچن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 تقو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تعقل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به‌عنوان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اصل مسلم تأك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اما در مقابل اصل مختص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تنها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دسته خاص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انسان‌ها با توانا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توص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كاملاً فردمحور و خاص است. از اصول جد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ترتب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مقامات و منازل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محقق است. ترتب اندراج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عنوان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برخ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ق‌تر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شارحان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منازل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گونة خاص ترتب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مقامات سلوك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كرده‌اند. در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ترتب،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به‌صورت صعود از پله‌ها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نردبان ترس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بلكه اولاً،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مودن 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منازل و مقامات متوقف بر به فعل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رساندن درجات و منازل قبل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تا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مرتبه از منازل به فعل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نرسد، حركت به‌سو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منزل بعد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خواهد بود. ثان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اً،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به‌گونه‌ا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 است كه سالك پس از عبور از هر مقام و وصول به مقام بالاتر، با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فروعات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مقام سابق را داشته باشد.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حاك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كپارچگ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فرا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محقق است، برخلاف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تحول اخلاق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اراده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نكات مهم در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سلوك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تلاش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رفته‌رفته فرد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و اراده فرد مندك و منحل در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درك عم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ق و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كپارچه از وجود شده و عارف رفته‌رفته از ادراك منحاز و مستقل اراده خود در عالم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فارغ شده و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اراده خود را مندك و 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هست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مطلق شهود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نكتة پا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نكه، ترب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عرفان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جهت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بودنش، بس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 و برا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سالك به‌تنها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عبور از 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عقبه‌ها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باطن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سور 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به هم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به شدت مرشدمحور است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B11B01" w:rsidP="00495D82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7" style="width:0;height:.75pt" o:hralign="right" o:hrstd="t" o:hr="t" fillcolor="#a0a0a0" stroked="f"/>
        </w:pic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495D82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منابع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 عرب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‌الد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(ب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الفتوحات المك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 عثمان 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مصر، اله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ئه المصر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العامه للكتاب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س، و.ت (1384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عرفان و فلسفه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‌ترجمة بهاءالد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خرمشاه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سروش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انصار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عبدالله بن محمد (1361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منازل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‌ترجمة روان فرهاد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تهران، مول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باقر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خسرو (1370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نگاه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دوباره به ترب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اسلام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مدرسه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باقر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خسرو (1377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مبان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وه‌ها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ترب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سازمان تبل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حك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محمدعل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(1340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لطائف‌العرفان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تعران، دانشگاه تهران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داود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محمد (1389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ترب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قم، پژوهشگاه حوزه و دانشگاه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شامل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عباسعل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(1386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مجموعه مقالات ترب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اخلاق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(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فرض‌ها و چالش‌ها)، قم، نشر معارف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خواجه نص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رالد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(1360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ناصر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مجتب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 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تهران، خوارزم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عباد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مروز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قطب الد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ابوالمظفر منصور بن اردش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(1362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مناقب الصوف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ابوحامد (ب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إح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اءعلوم الد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دارالمعرفة للطباعة و النشر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غزال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ابوحامد محمد(1994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محك النظر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رف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العجم، لبنان، دارالفكر اللبنان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فنار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محمد‌بن حمزه (1384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مصباح الانس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محمد خواجو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تهران، مول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عبدالكر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 هوازن (1361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رساله قش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حسن‌بن احمد عثمان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محمدحسن فروزانفر، تهران، علم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‌و فرهنگ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كاشان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كمال‌الد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عبدالرزاق (1385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شرح منازل السائر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محسن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دارفر، قم،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مجلس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محمدباقر (1404ق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مؤسسة الوفاء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 بن منور (1366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اسرارالتوح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شف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كدكن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آگاه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مسكو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راز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احمد‌بن محمد (1401ق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تهذ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 الاخلاق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دارالكتب العلم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مصباح، محمدتق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(1372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در قرآن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ام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ركب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مطهر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مرتض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(1369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مجموعه آثار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صدرا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موسو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روح‌الله (1372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مصباح الهدا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ال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الخلافه و الولا</w:t>
      </w:r>
      <w:r w:rsidR="00B11B0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مؤسسه تنظ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نشر آثار امام خم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نراق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محمد مهد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(ب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‌‌تا)، تصح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 كلانتر، منشورات جامعه النجف الاشرف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همدان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عبدالصمد (1381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بحرالمعارف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ترجمه حس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استاد ول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حكمت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هوش</w:t>
      </w:r>
      <w:r w:rsidR="00B11B0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ار، محمدباقر (1331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اصول آموزش و پرورش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دانشگاه تهران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B11B01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(1389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="00495D82" w:rsidRPr="00495D8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95D82"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عرفان عمل</w:t>
      </w:r>
      <w:r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بوستان كتاب</w:t>
      </w:r>
      <w:r w:rsidR="00495D82"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495D82" w:rsidRPr="00495D82" w:rsidRDefault="00495D82" w:rsidP="00495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Oser, F. and R. Reichenbach (1994), "Moral Education: philosophical Issues", in </w:t>
      </w:r>
      <w:r w:rsidRPr="00495D82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the International Encyclopedia</w:t>
      </w:r>
      <w:r w:rsidRPr="00495D82">
        <w:rPr>
          <w:rFonts w:ascii="Times New Roman" w:eastAsia="Times New Roman" w:hAnsi="Times New Roman" w:cs="B Mitra" w:hint="cs"/>
          <w:color w:val="000000"/>
          <w:sz w:val="24"/>
          <w:szCs w:val="24"/>
        </w:rPr>
        <w:t>; second edition; Editors in chief Torsten Husen and T. Neville Postlethwaite; Oxford, pergamon.</w:t>
      </w:r>
    </w:p>
    <w:p w:rsidR="00CA5C42" w:rsidRDefault="00CA5C42" w:rsidP="00495D82"/>
    <w:sectPr w:rsidR="00CA5C42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B"/>
    <w:rsid w:val="00495D82"/>
    <w:rsid w:val="00B11B01"/>
    <w:rsid w:val="00B86F9F"/>
    <w:rsid w:val="00C07E6B"/>
    <w:rsid w:val="00C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F68B5-48DB-4F8C-B140-E557900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95D8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5D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5D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5D82"/>
    <w:rPr>
      <w:color w:val="0000FF"/>
      <w:u w:val="single"/>
    </w:rPr>
  </w:style>
  <w:style w:type="paragraph" w:customStyle="1" w:styleId="rtecenter">
    <w:name w:val="rtecenter"/>
    <w:basedOn w:val="Normal"/>
    <w:rsid w:val="0049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49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49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di_fasihi5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4670</Words>
  <Characters>26620</Characters>
  <Application>Microsoft Office Word</Application>
  <DocSecurity>0</DocSecurity>
  <Lines>221</Lines>
  <Paragraphs>62</Paragraphs>
  <ScaleCrop>false</ScaleCrop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4</cp:revision>
  <dcterms:created xsi:type="dcterms:W3CDTF">2018-01-28T07:34:00Z</dcterms:created>
  <dcterms:modified xsi:type="dcterms:W3CDTF">2018-12-05T07:29:00Z</dcterms:modified>
</cp:coreProperties>
</file>