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7B" w:rsidRPr="00B44D7B" w:rsidRDefault="00B44D7B" w:rsidP="000C15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bookmarkStart w:id="0" w:name="_GoBack"/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راهبرد ترب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اخلاق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(استراتژ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تحول اخلاق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و معنو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="000C1526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)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سال دوم، شماره اول، زمستان 1389، صفحه 65 ـ 94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  <w:t xml:space="preserve">Ma'rifat-i Ākhlaqī, Vol.2. No.1, </w:t>
      </w:r>
      <w:proofErr w:type="gramStart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Winter</w:t>
      </w:r>
      <w:proofErr w:type="gramEnd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 2011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محمدعالم‌زاده نور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bookmarkStart w:id="1" w:name="_ftnref1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"_ftn1"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*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از آنجا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که ترب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انسان و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جاد هر گونه تحول در جان او، 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ازمند تمرکز ذهن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روان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است، شا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سته است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تمرکز ذهن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روان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صرف موضوع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شود که تأث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 ب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شتر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در شخص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انسان دارد تا بد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ترت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ب، فعال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ت‌ها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،به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نه و بهره‌ورانه گردد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br/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در پاسخ به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سؤال که «موضوع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تمرکز چه 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باشد؟» رو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کردها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فراوان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پد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آمده است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br/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برخ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از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رو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کردها عبارتند از: اخلاق فتوت و آ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جوانمرد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مهرورز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محبت، اخلاق دعا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مناجات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،‌ معرفت‌الله، کرامت نفس، خودشناس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اعتدال نفس،‌اراده، عمل، ولا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و محبت اهل‌ب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و توسل و... در منابع د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مستندات فراوان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برا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موضوعات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‌توان 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افت که در نگاه اول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با هم قابل جمع 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ستند. برا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حل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موضوع دست کم پنج پ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شنهاد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‌توان عرضه کرد: انکار اصل ضرورت تمرکز؛ تنوع راهبرد به تنوع روح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ات مترب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؛ تنوع راهبرد بر حسب اصناف شخص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؛ راهبرد منازل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مرحله به مرحله و راهبرد تکثرگرا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پازل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دواژه‌ها: ترب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اخلاق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معنو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تحول انسان، راهبرد ترب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</w:p>
    <w:bookmarkEnd w:id="0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مقدمه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دانش اخلاق عهده‌دار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ارزش‌ها و ضدارزش‌ها، و خوب‌ها و بدهاست. «اخلاق»، رفتار و صفات اخت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را ارزش‌گذار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و نظام شا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سته و ناشا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را مع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‌سازد. «ترب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فرآ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درون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‌شدن ارزش‏ها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شكل‏گ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انسان بر اساس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كامل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برعهده دارد. «ترب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مس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گذار از وضع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موجود (دامنه‌ا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مبدأ حركت انسان است) به سو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قلة كمال را نشان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 و به انسان كمك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‏كند تا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آرمان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صورت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دئال آل انسان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وجود خو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پد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آورد. «ترب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تحقّق 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مكارم اخلاق و تجلّ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بارز همة آموزه‏ها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دانش «اخلاق» بدان فرام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‏خواند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گفت «اخلاق» مقصد و غا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حركت انسان را بازم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‌نما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د؛ در حال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«ترب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الگو و قاعدة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تحول و قواعد حركت انسان بدان سو را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به تعب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اخلاق پرسش از ماه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ارزش‌ها، و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پرسش از 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تِ دست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بدان را پاسخ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واژة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گاه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دانش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گاه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فرآ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خارج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اطلاق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دانش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در صدد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فرآ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احكام و قواعد آن است و از آن انتظار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‌رود كه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راه‌گشا و مؤثر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نه‌ساز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فرآ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ارائه دهد. در فرآ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از هر عنصر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 استراتژ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برنامة آن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داشت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نوشتار برآن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تا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 در طراح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راهبرد كلان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ن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از ترب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 به تمركز ذهن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و روان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انسان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ازمند تمركز ذهن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بدون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تمركز، امكان تحول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وجود ندارد و اراده‌ا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شكل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رد. پراكنده‌كار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تشتت خاطر مانع تحول پا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 است. تا هنگام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انسان دربارة موضوع تلاش نكند و مدت زمان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نسبتا طولان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آن متمركز نشود، از نتا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آن بهره‌مند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با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تمركز، شكاف عم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علم و عمل تا حدود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پر خواهد شد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بنابرا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اگر بخواه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متحول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نبا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فهرست طولان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خوب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 و بد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قرار ده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ذهن او را به همة آن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 رذا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معطوف ساز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م؛ بلكه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همّ‌وغمّ او را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موضوع تمركز بخش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در زمان نسبتاً طولان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تثب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صفت، درون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ساختن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عاد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ساختن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رفتار بر آن اهتمام ورزد و به شكل‌ها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گوناگون بدان حساس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نشان دهد. به تعب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شخص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مدت زمان قابل توجه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موضوع قرار 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تا از آن بهره ببرد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2" w:name="_ednref1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فرآ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چندمرحله‌ا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مستمر، كامل نشود، اثر پا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نخواهد آمد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پس نقطة تمركز فعال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موضوع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ـ به 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تحول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 ـ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تبل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به گونه‌ا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تمام همّ‌وغمّ و فكر و ذكر مخاطب، به آن معطوف و ذهن او بدان كاملاً مشغول شود و در خلوت و جلوت و خواب و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بدان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تمركز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ازمند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روان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و تبل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غات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گسترده در زم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نة مورد نظر است تا ذهن و جان شخص به‌كل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بدان معطوف، و پذ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تحول شود. به عبارت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گر، با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بار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زدن چشمه‌ا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نخواهد جوش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عمل آنقدر تكرار شود تا نت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حاصل 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قانون حاصل ضرب دو اصل تدر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و استمرار در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و مبتن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تحول به عمل و زمان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3" w:name="_ednref2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"_edn2"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اساس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نگاه، بدتر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آفت و بزرگ‌تر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مانع رشد، تنوع‌جو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تنوع‌جو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نقطة مقابل و دشمن تمركز است و اجازه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‌دهد ذهن، بهرة خود را از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موضوع به صورت كامل 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 كند. نوگرا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تنوع‌جو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باعث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مترب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حوصلة لازم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نداشته باشد و از دشوار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تكرار و عمل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زد. در واقع، تنوع‌جو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نوگرا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شهوت است كه انسان را از تحول بازم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‌دارد. شا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قرآن كر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به اعراض از لهو و لعب، در 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نكته نهفته باشد. در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‌خوان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م: «برا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غفلت انسان 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بس كه همت خود را در امور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هوده صرف كند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4" w:name="_ednref3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"_edn3"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موضوع از نگاه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بالا و در سطح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كلان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نگر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 اگر ابعاد تحول را گسترش ده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تحول را از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طة افراد به قلمروجوامع بكشان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اصلاح اجتماع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جامعه‌ساز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نام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رد.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اصلاح جامعه، جر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ان‌ساز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فرهنگ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تحول اجتماع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چه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كرد؟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تمركز و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مستمر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تحول انسان‌ها در سطح جامعه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ضرور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اگر نهادها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فرهنگ‌ساز و رسانه‌ها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مؤثر، هر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آهنگ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بنوازند و به سو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دعوت كنند، مخاطب، دانسته‌ها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كسب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‌كند؛ اما تحول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خود نخواهد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 تحول و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حاصل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گسترده است كه توجه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و فراگ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پد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آورد؛ دغدغة مشترك جار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كند و به تعب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امروز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موضوع خود را به گفتمان غالب مبدل سازد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بسامد كاربرد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واژه و فراوان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كلمات، تراكم دغدغه‌ها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شخص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 جامعه در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نقطه خاص، و نوع حساس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 و تمركزها را نشان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‌دهد. چه بسا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ادگفتن و دائم توجه دادن ذهن را اشباع نكند و به اقناع منطق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برهان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نجامد؛ اما باور قلب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قانع‌ساز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‌آورد؛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موضوع با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تكرار و توجه مستمر مانند بد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غ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قابل خدشه تلق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و به آستانه عمل و اراده نزد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‌گردد</w:t>
      </w:r>
      <w:bookmarkStart w:id="5" w:name="_ednref4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"_edn4"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5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روان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همان است كه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زوتسو ـ محقق قرآن پژوه ژاپن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ـ در فرهنگ‌ساز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قرآن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تغ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مناسبات عصر جاهل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قرآن كر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افته و نشان داده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6" w:name="_ednref5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"_edn5"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5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محور و كانون فعال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ت‌ها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اخلاق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معنو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اكنون كه 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تحول انسان و پد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آوردن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 در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او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ازمند صرف زمان و انرژ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فراوان است و با بخشنامه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راد سخنران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حماس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و... به سرانجام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‌رسد، لازم است در هز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كردن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دقت‌نظر كاف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انجام شود و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همه تمركز و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اهتمام، صرف امر شا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شود.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در صرف انرژ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ارزشمند خود بخل ورزد و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گران‌بها و مغتنم خود را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افتن اهداف كوچك هرز ندهد. ضرور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فعال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سازندة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مدار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متمركز شود كه جا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گاه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وجود انسان داشته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باشد و با تحول و تغ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آن، جابجا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او رخ دهد.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نقطة كانون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مركز ثقل فعال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كجاست؟</w:t>
      </w:r>
      <w:bookmarkStart w:id="7" w:name="_ednref6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"_edn6"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اگر بخواه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ك تحول مؤثر ـ در جان خود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مترب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ان خود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جامعة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ـ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بهتر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اقدام 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ست؟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حركت را از چه نقطه‌ا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آغاز كرد و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آن را بر مدار چه محور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نهاد؟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هدف عال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بحث «اصل موضوع» و مفروغ عنه تلق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شده و بحث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‌انگ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زد.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مثال، مقام خل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فة‌الله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قرب به خدا را غا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سلوك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پس از گذر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ش‌فرض، اكنون پرسش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غا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چه نقطه‌ا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هدف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كانون توجه خود قرار ده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م؟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 و تدب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ما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حركت به سو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هدف چگونه است؟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پرسش در تلاش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خود،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خانواده و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مطرح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و پاسخ بدان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ان‌ساز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فرهنگ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حركت‌ها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اصلاح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ضرور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پاسخ به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پرسش و بر اساس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كه محور فعال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چه موضوع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باشد،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آمده است؛ 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بزرگ با درك درست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اصل، بنا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تمركز تبل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روان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را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مهم‌تر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موضوع ـ از نظر خود ـ نهاده‌اند.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 و سخنان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بزرگ و دانشمندان برجستة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در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افتن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آنان بس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مهم و قابل توجه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noProof/>
          <w:color w:val="000000"/>
          <w:sz w:val="24"/>
          <w:szCs w:val="24"/>
        </w:rPr>
        <w:drawing>
          <wp:inline distT="0" distB="0" distL="0" distR="0">
            <wp:extent cx="4114800" cy="1483995"/>
            <wp:effectExtent l="0" t="0" r="0" b="1905"/>
            <wp:docPr id="1" name="Picture 1" descr="http://marefateakhlagi.nashriyat.ir/sites/Marefateakhlagi.nashriyat.ir/imag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efateakhlagi.nashriyat.ir/sites/Marefateakhlagi.nashriyat.ir/imag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شان، از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حوزه‌ها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اخلاق، بر اخلاق بندگ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فشرده و اخلاق ارتباط با خدا را كانون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انسان برشمرده‌اند. برخ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راهبرد تحول خود را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اجتماع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نهاده و اخلاق اجتماع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 اخلاق بندگ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اخلاق فرد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ترج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داده‌اند؛ عده‌ا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اخلاق فرد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مبنا دانسته،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را از خوب و بد فرد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آغاز كرده‌اند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رو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كردها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مبتن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بر اخلاق اجتماع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پاره‌ا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راهبردها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اخلاق اجتماع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تمركز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افته‌ است. و برخ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معتقدند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گز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نه، نقش محور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انسان دارد؛ به گونه‌ا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اگر رابطه با سا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انسان‌ها اصلاح شود، بس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مشكلات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حوزه‌ها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انسان اصلاح خواهد شد، حت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رابطه با خدا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در پرتو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امر اصلاح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‌شود: «اعدلوا هو اقرب للتقو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».(مائده: 8)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برداشت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كه اگر با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رابطة عادلانه داشته باش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زودتر به تقوا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خواه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 بس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بزرگانِ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عرفان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به استناد تعداد 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عه، بر احسان به مردم، خدمت به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و برآوردن حاجت مؤمنان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داشته‌اند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اخلاق اجتماع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مقام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ترج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داده‌اند، خود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دارند. اكنون به معرف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مختصر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كردها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‌پرداز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جوانمرد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فتوت و جوانمرد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اخلاق اجتماع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ورز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و از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انبوه گزاره‌ها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اخلاق،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گزارة محور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برجسته ساخته است كه «مرد باش، نامرد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نكن.» اصحاب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تلاش كرده‌اند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گزارة محور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همه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استخراج كنند؛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مانند بزرگوار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بزرگ‌منش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كرم، سخاوت، شجاعت، غ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رت،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ثار، مدارا، مردم‌نواز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ب‌پوش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عفو، امانت‌دار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صداقت، حما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از مظلوم، مقاومت در برابر ظالم، ترحم بر ضع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فان و اعانت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‌نوا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دانسته‌اند. حت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مناسبات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عبد و مولا را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زاو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تب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كرده‌اند كه «نعمت خدا خوردن و معص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تش نمودن اوج ناجوانمرد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نمك‌ناشناس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8" w:name="_ednref7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"_edn7"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7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اصحاب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خود را به حضرت رسول(ص) و 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مؤمنان(ع) منتسب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‌دانند.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امبر اكرم(ص) قبل از بعثت در حلف‌الفضول (پ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 جوانمردان) شركت داشت؛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جوانمردان مكه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دادرس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‌نوا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تشك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داده بودند. در فتوت، بهتر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مثالِ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فتا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كامل، 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مؤمنان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(ع) است كه همة سلسله‌ها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فتوت اسلام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او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وندند و آن رادمرد را «منبع 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فتوت و معدن جود و مروت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9" w:name="_ednref8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"_edn8"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8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«قطب مدار فتوت»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‌شمارند. اهل فتوت وقا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 بس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زندگ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حضرت ذكر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 كه بر ظهور بالاتر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درجة صفت فتوت در وجود آن حضرت دلالت دارد؛ از جمله فداكار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در خواب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در بستر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امبر اكرم در 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لةالمب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حضور شجاعانة او در نبردها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از اسلام.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مثال، در جنگ احد زمان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حضرت شجاعانه، خالصانه و به طرز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شگفت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‌جنگ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هاتف غ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آواز داد: «لافت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الا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لا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الا ذوالفقار» و از آن پس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امبر(ص)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جمله را دربارة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(ع) به كار برد. سپس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جمله شعار فت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شد و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(ع) را بدان دل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«شاه مردان» خواندند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10" w:name="_ednref9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"_edn9"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9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0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مهرورز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اخلاق مس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انبوه گزاره‌ها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 اجتماع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مهرورز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محبت به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گران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شده است.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مهرورز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شناخته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‌شود؛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عمده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صفت متمركز شده و تحول انسان در پرتو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آن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صفت در اخلاق اجتماع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پا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و 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همة 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رها و سعادت‌هاست و با تمركز بر آن تحول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در جان آدم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كه بستر توسعة همه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خواهد بود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روح حماس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و احساس مسئول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روح حماس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شور انقلاب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شهادت‌طلب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احساس مسئول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نسبت به اصلاح مح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اجتماع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و آن را محور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اسلام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معرف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كرده‌اند؛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معتقدند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مؤثر و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تحول پا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دار، مترب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خود را در مقام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مصلح احساس كند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رو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كردها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مبتن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بر اخلاق بندگ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شمندان و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بر اخلاق بندگ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مثابه مركز ثقل فعال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ورز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ده‌اند و به استناد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ات، بر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باورند كه تمركز و اهتمام بر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نقطة كانون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به اصلاح سا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ابعاد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خواهد انجام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قَالَ أَمِ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رُ الْمُؤْمِنِ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نَ(ع) كانَتِ الْفُقَهَاءُ وَ الْعُلَمَاءُ إِذَا كتَبَ بَعْضُهُمْ إِلَ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بَعْضٍ كتَبُوا بِثَلاثَةٍ لَ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سَ مَعَهُنَّ رَابِعَةٌ؛ مَنْ كانَتْ هِمَّتُهُ آخِرَتَهُ كفَاهُ اللَّهُ هَمَّهُ مِنَ الدُّنْ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ا، و من اصلح سَرِ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رَتَهُ أَصْلَحَ اللَّهُ عَلانِ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تَهُ، وَ من اصلح فِ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مَا بَ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نَهُ وَ بَ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نَ اللَّهِ أَصْلَحَ اللَّهُ فِ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مَا بَ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نَهُ وَ بَ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نَ النَّاسِ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11" w:name="_ednref10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"_edn10"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10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1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دعا، مناجات و ارتباط با خدا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اخلاق بندگ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ترج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داده و كانون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شناخته است،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دعا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ـ مناجات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از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گزاره‌ها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فراوان اخلاق بندگ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ارتباط با خدا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ورز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ده است؛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آموزة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اصلاح ارتباط با خدا دانسته، تلاش كرده است سا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را از آن استخراج ‌كند. 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 اگر بنا باشد تنها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انتقال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ابد، آن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ام، در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«پ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وند با خدا»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دعا و تضرع به درگاه خدا چنان در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انسان تأث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رگذار است كه خدا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متعال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متضرع ساختن انسان‌ها، آنان را به انواع بلا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گرفتار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‌سازد و مشكلات و مصائب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پد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‌‌آورد: «وَ لَقَدْ أَرْسَلْنا إِل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‏ أُمَمٍ مِنْ قَبْلِكَ فَأَخَذْناهُمْ بِالْبَأْساءِ وَ الضَّرَّاءِ لَعَلَّهُمْ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تَضَرَّعُونَ».(انعام:‌ 42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شاخص‌تر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دانشمندان و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موسوم‌اند، عبارت‌اند از: احمدبن فهد حل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(م 841 ق) صاحب كتاب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عدةالداع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نجاح‌الساع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Cambria" w:eastAsia="Times New Roman" w:hAnsi="Cambria" w:cs="Cambria" w:hint="cs"/>
          <w:b/>
          <w:bCs/>
          <w:i/>
          <w:iCs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‌بن موس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‌بن جعفربن طاووس مشهور به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دبن‌طاووس (589 تا 664 ق) كه نزد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به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اثر در زم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نة ادع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و اعمال و مناسك عباد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تأل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كرده است. مشهورتر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آنها عبارت‌اند از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فلاح‌السائل و نجاح‌المسائل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الاقبال بصالح الاعمال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جمال الاسبوع بكمال العمل المشروع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المجتب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من الدعاء المجتن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مهج الدعوات و منهج العنا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12" w:name="_ednref11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"_edn11"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11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2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معرفت الله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عارفان مسلمان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مدار معرفتالله را شاه‌كل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تعال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دانسته، در اخلاق بندگ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بدان اصرار ورز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ده‌اند. اهل معرفت معتقدند با اصلاح معرفت‌الله همة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در جان انسان شكل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و همة رذائل از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‌رود. بنابرا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عمدة توجهات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موضوع قرار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 و به 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است كه «معرّف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خدا و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صفات او»، بخش عمده‏ا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راث وح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را به خود اختصاص داده است. گنج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نة اله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قرآن صفحه‏ا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بر ندارد كه در آن ذكر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نام پروردگار و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اوصاف و افعالش نباشد.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 خطابه‏ها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از ناح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بزرگ 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عه در اخت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ماست، به‏خوب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 را با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موضوع آشنا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‏كند كه سرفصل برنامة رهبران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به حمد و ستا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و تعر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خدا مزّ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است. در ادع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 و مناجات‏ها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موجود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صفات و اسما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خداوند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شده است. تا آن‏جا كه در بعض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دعاها مثل جوشن كب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ر، سراسر به معرّف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خدا پرداخته شده است.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تمركز بدان دل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است كه معرفت اللَّه چك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دة همة آموزه‏ها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و از بسط و تفص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آن، همة گزاره‏ها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به‏دست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در مقام عمل، تلاش در جهت ارتقا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معرفت توح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رفع همة مشكلات و تأم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همة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‏انجامد. همة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كتاب و سنّت ارائه شده است، به نوع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مولود مستق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غ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رمستق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معرفت اللَّه است؛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 به قدرت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‌كرانة خدا دارد و جز او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عالم، صاحب اخت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و حكمران و فرمانروا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‏شناسد، اگر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آگاه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وجودش به آستانة باور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باشد، بدون تكلّف در شمار «متوكلان» قرار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رد.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لطف و محبّت و رحمت خدا را باور داشته و با همة وجود 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افته است كه 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فعل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بدون حكمت و مصلحت از او صادر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‏شود، در برابر ناگوار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‏ها و بلا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«صبر»، «رضا»، «شكر» و بلكه «طلب»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‏كند.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خدا را مهرورز و روز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‏رسان بداند و به وسعت او اعتماد كند، بر زخارف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‏ارزش دن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 «بخل»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«حرص»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‏ورزد و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قدرت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‏اندازة خدا را به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دة معرفت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افته باشد، در راه انجام وظا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شرع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«واهمه و هراس»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«شرم» ندارد. امام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(ع) در نهج‌البلاغه فرموده‏اند: «إِنَّ البُخلَ وَ الجُبنَ وَ الحِرصَ غَرائِزُ شَتّ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جمَعُها سوءُ الظَّنِّ بِاللَّهِ؛ بخل و ترس و آز، صفات پراكنده‏ا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هستند كه قدر مشترك و جامع آنها بدگمان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خداست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13" w:name="_ednref12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"_edn12"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12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3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برانداز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درخت ناپاك صفات ناپسند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و اساس آن پرداخت. گسترش و تعم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«معرفت به خدا» در نهاد انسان، بن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 رذا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‏كند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14" w:name="_ednref13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"_edn13"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13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4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بنابر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محور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برنامه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افزا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معرفت، تمركز بر توح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صفات خداست. معرفت خدا نقطة آغاز علم است؛ «اول العلم معرفه الجبار». اصلاح عمل انسان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ناش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نش و معرفت خواهد بود. اله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لم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كن 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حول فانتقل به عن معص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تك الا 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وقت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قظتن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لمحبتك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15" w:name="_ednref14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"_edn14"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14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5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اساس،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معرفت به خدا را كه موجب محبت خدا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محور برنامة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قرار ده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ترك معص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طبق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ان، تنها با محبت خدا حاصل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و محبت هم در گرو معرفت است. در دعا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ماه رجب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آمده است. «و اقسم لنا من خش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تك ما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حول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ننا و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معاص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16" w:name="_ednref15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"_edn15"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15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6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آنچه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ما و معص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فاصله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‌اندازد، خش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خداست. خش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هم حاصل معرفت است. اصولاً تا باورها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تغ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نكند، تنها با تك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بر گرا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ش‌ها و رفتارها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سلوك و صعود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انتظار داشت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رو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كردها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مبتن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بر اخلاق فرد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در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شمندان و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ان،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شناسا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 كه نقطة كانون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مركز ثقل فعال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حوزة اخلاق فرد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دنبال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‌كنند و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عناصر اخلاق فرد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منزلة محور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برگز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ده‌اند. در ادامه به برخ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كردها اشاره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color w:val="000000"/>
          <w:sz w:val="27"/>
          <w:szCs w:val="27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7"/>
          <w:szCs w:val="27"/>
          <w:rtl/>
        </w:rPr>
        <w:t>كرامت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شمندان اسلام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استا مطهر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كرامت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مركز ثقل اخلاق و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اسلام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دانسته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در اخلاق اسلام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محور... 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 به تعب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آن نقطه‌ا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از روح انسان، كه اسلام رو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آن دست گذاشته است برا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اح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اخلاق انسان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برا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نكه انسان را به سو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اخلاق سوق بدهد، كرامت و عزت نفس است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 </w:t>
      </w:r>
      <w:bookmarkStart w:id="17" w:name="_ednref16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"_edn16"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16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17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در اخلاق اسلام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 موضوع است كه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‌توان آن‌را پا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ه و محور همه تعل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مات اخلاق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اسلام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قرار داد و تا آنجا كه ما تفحص كرده‌ا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م، در مآثر اسلام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ه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چ موضوع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به عنوان پا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ه و محور، به اندازه اصل كرامت نفس تك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ه نشده است... در اسلام به كرامت و عزت نفس و به محترم شمردن نفس بس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ار اهم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داده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‌شود؛ آن هم با كلمه «نفس» (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نف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س و ارزشمند</w:t>
      </w:r>
      <w:bookmarkStart w:id="18" w:name="_ednref17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"_edn17"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17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18"/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 xml:space="preserve">) 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مثل: اكرم نفسك عن كل دن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ة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19" w:name="_ednref18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"_edn18"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18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19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هركس به قدر و ارزش و منزلت خود آگاه باشد و بداند چه گوهر گران‌بها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اخت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او قرار داده شده است، هرگز حاضر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سرما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عظ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را در امور پست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صرف كند و از همة اخلاق و صفات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مومنان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(ع) فرموده‌اند: «من كرمت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نفسه هانت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شهواته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20" w:name="_ednref19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"_edn19"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19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0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اگر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بتواند احساس كرامت و ارزشمند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جان مترب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كند، او را از عمدة شهوات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رهانده است، اما اگر شخص احساس بزرگ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ارزشمند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نداشته باشد و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شرافت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قائل نباشد، 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همه 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را باخته، و حاضر است به هر ذلت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بپذ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و هر خلاف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مرتكب شود. از امام هاد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(ع) نقل شده است: «من هانت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نفسه فلا تأمن شره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21" w:name="_ednref20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"_edn20"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20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1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سرما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ه‌گذار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اصلاح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صفت بن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موجب اصلاح سا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ملكات و رفتارها خواهد شد. مرحوم شه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مطهر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آثار خود تلاش كرده است مناسبت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صفت با سا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صفات و رفتارها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تب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 </w:t>
      </w:r>
      <w:bookmarkStart w:id="22" w:name="_ednref21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"_edn21"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21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2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خودشناس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با استناد به 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«عل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كم انفسكم»(مائده: 105) و 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 احاد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 فراوان معرفت نفس، خودشناس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محور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بخش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ده‌اند، 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از «خودشناس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حق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نزد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به كرامت را اراده كرده‌اند؛ 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انسان با خودشناس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ارزش وجود خود واقف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و حاضر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آن را در كمتر از بها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واقع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به‌كار 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23" w:name="_ednref22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"_edn22"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22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3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خودشناس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افزون بر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مادر همة فضائل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موجب افزا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معرفت به خدا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‌شود: «من عرف نفسه فقد عرف ربه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24" w:name="_ednref23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"_edn23"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23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4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برا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چه گفته‌اند خود را بشناس؟ از خودشناس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به كجا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‌رس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؟ خودشناس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مقدمه 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ست؟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را برا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دو منظور گفته‌اند 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كه اگر خود را بشناس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به مهم‌تر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مسئله‌ا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كه برا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بشر مطرح است و راز اصل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جهان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‌باشد 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خدا پ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‌بر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دوم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نكه خود را بشناس تا بدان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در زندگ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در جهان چه با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بكن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چگونه با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رفتار كن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؟ 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اخلاق و عمل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 </w:t>
      </w:r>
      <w:bookmarkStart w:id="25" w:name="_ednref24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"_edn24"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24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25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اعتدال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اخلاق فلسف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ارسطو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در 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مدار اعتدال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محور دانسته و او را به متعادل شدن دعوت كرده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26" w:name="_ednref25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"_edn25"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25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6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رو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كردها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عمل محور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پاره‌ا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و اند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شمندان راهبرد عمل‌محور را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اقدامات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برگز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ده، و عمدة تلاش و تمركز خود را بر اقدام، عمل و استقامت بن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نهاده‌اند. البته زاو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نگاه آنان و نوع تعاب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رشان متفاوت و متنوع است؛ ول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به دل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تشابه ماهو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همة آنها را در قالب «استراتژ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عمل» طبقه‌بند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كرد. افزون بر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 عمل، تعاب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مشاهده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عبارت‌اند از: اراده، عقل، مخالفت با هوا، جهاد اكبر، تقوا، صبر، و انجام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اراده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اساس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كرد،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را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از تقو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اراده آغاز كرد. اگر اراده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محور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لازم است با برجسته‌ساز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 و تمركز بر آن،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روح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گسترده را آغاز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راه، به سا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نقب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بزن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اراده مبنا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 است. اخلاق از اراده نشئت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و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رشد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معنو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‌شك داشتن ارادة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شرط لازم به شمار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‌رود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انسان و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 هر دو صاحب اراده‌اند.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 را حساس و متحرك بالاراده دانسته‌اند. انسان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موجود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صاحب اراده است؛ اما ارادة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ارادة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 تفاوت دارد.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 هرگاه غر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و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لش تحر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شود و هوس 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سرش 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‌درنگ به سو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حركت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‌كند.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ارادة او معطوف به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است و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 ارادة او فاصله‌ا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وجود ندارد. انسان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از آن‌رو، كه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 است،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اراده را داراست در او 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 و غرا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در او انگ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و حركت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آنچه كه انسان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از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 دارد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ال خود را كنترل كند؛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آگاهانه و از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عقل، بر خلاف كشش‌ها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اراده كند. بد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ترت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ب، كودك انسان چون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 را ندارد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 بالفعل و انسان بالقوه است و به مرور زمان هر چه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 در وجود او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شود، فاصلة او با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خواهد بود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امام خم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(ره) در كتاب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چهل حد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ث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‌نو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سند: بعض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مشا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ما، أطال اللّه عمره،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‏فرمودند كه «عزم» جوهرة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 امت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انسان است، و تفاوت درجات انسان به تفاوت درجات عزم او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27" w:name="_ednref26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"_edn26"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26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27"/>
    </w:p>
    <w:p w:rsidR="00B44D7B" w:rsidRPr="00B44D7B" w:rsidRDefault="00B13F71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عزم نداشته باشد از جوهرة انسان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محروم، و ملحق به ح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 است. بنابرا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ح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انسان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انسان‌ها ح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اراد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آنان است. كس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اراده ندارد و همة برنامه‌ها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بر اساس اقتضا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مح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و بازتاب محرك‌ها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به حوزة انسان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اخلاق 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امده است؛ اما كس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برا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تق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و از خود انرژ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اراده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‌طلبد، اخلاق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زندگ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انرژ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قدرت اراده است؛ ارادة برخاسته از شناخت و آگاه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و عمل بر اساس تشخ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 وظ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 نه ارادة برخاسته از م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 غر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و عمل غر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توجه به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كمال هر موجود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رشد فصل مم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او از سا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موجودات تأم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و وجه امت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انسان از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 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اراده است،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عمده‌تر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تلاش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تقو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اراده معطوف باشد و با تقو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اراده، فاصله انسان از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 افزا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ش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تعهد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التزام، تق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انضباط رفتار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احساس جد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مسئول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نشان از اراده و عزم در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دارد. به 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اراده‌محور در زمرة استراتژ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عمل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شده است. انسان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ارادة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را به انجام اعمال خوب وادار سازد و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تق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آورد و از ارادة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انرژ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بهره 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رد؛ خود را رها نگذارد و همه 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را باز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نداند و با همه 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شوخ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نكند؛ جد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اهتمام در او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شود؛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نباشد كه همواره بر اساس هوس و غر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و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ل خود ـ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ـ عمل كند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اراده‌ا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ندارد و همة برنامه‌ها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به اقتضا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و بازتاب محرك‌ها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زندگ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تق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و از خود انرژ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اراده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‌طلبد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زندگ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بنابرا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تعهد و عمل، به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عمل منضبط و مستمر، نشان اراده است و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ارز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 اراده و عزم در انسان‌ها،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التزام‌ها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توجه كرد. از سو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تقو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اراده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عمل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كرد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13F71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</w:t>
      </w:r>
      <w:r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از اسرار بزرگ عبادات و ر</w:t>
      </w:r>
      <w:r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اضات شرع</w:t>
      </w:r>
      <w:r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ه آن است كه بدن و قوا</w:t>
      </w:r>
      <w:r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طب</w:t>
      </w:r>
      <w:r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ع</w:t>
      </w:r>
      <w:r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ه و جنبه ملك تابع و منقاد روح گردد و ارادة نفس در آنها كار كن شود و ملكوت نفس بر ملك غالب شود، و به طور</w:t>
      </w:r>
      <w:r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="00B44D7B"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 xml:space="preserve">... </w:t>
      </w:r>
      <w:r w:rsidR="00B44D7B"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كه به مجرد اراده، بدن را به هر كار بخواهد وادار كند، و از هر كار بخواهد باز دارد</w:t>
      </w:r>
      <w:r w:rsidR="00B44D7B"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28" w:name="_ednref27"/>
      <w:r w:rsidR="00B44D7B"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="00B44D7B"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"_edn27" \o "" </w:instrText>
      </w:r>
      <w:r w:rsidR="00B44D7B"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="00B44D7B"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27</w:t>
      </w:r>
      <w:r w:rsidR="00B44D7B"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28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در هر 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 از عبادات اثر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در نفس حاصل شود و كم‏كم تقو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ارادة نفس كند و قدرت آن كامل گردد، و لهذا عبادات هر چه مشقت داشته باشد مرغوب است وأفضل الاعمال أحمزها. مثلاً در زمستان سرد، شب از خواب ناز گذشتن و به عبادت حق تعال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ق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ام كردن روح را بر قوا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بدن 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ره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‏كند و اراده را قو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‏كند. و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در اول امر اگر قدر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مشكل و ناگوار باشد، كم‌كم پس از اقدام زحمت كم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‏شود و اطاعت بدن از نفس ز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اد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‏شود، چنانچه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‏ب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 اهل آن بدون تكلف و زحمت ق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ام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‏كنند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29" w:name="_ednref28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"_edn28"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28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29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مخالفت با هوا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نفس و جهاد اكبر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موضوع اراده از منظر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توجه كرد. در وجود انسان، هم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به كمال و گرا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به سعادت وجود دارد و هم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به بهره‌مند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‌كران از لذا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ذ و بهره‌ها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با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تفاوت كه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غر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مانند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به خوردن و خواب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و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به ارتباط با جنس مخالف، معمولاً فعل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دارند و خودبه‌خود شكوفا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‌شوند، اما تما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لات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بالقوه هستند و شكوفا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آنها در شرا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و مح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فراهم خواهد شد و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ازمند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راهنما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‌شك خواسته‌ها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بس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متنوع و متفاوت است و انسان 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‌تواند به همة خواسته‌ها و آرزوها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برسد؛ 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معمولاً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گرا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ش‌ها با هم تزاحم دارند. خوردن و خواب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و خوش بودن، خواستة همه ما آدم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است؛ به دست آوردن علم، و آگاه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اسرار جهان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خواستة ماست؛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دو خواسته با هم تزاحم دارند؛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مزاحمت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‌كنند.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خواستة اول مانع از خواهش دوم و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خواستة دوم مانع از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آرزو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اول است. روشن است كه با تن‌آسا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خوش‌گذران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لذت‌جو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به موفق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بالا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نه 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موفق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د.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ناگز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از برخ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خواسته‌ها صرف‌نظر كرد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چن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تزاحم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حكم قاطع عقل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محدود ساختن لذا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ذ ماد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تلاش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كمال و لذت معنو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آنان كه دوراند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و عاقل‌اند، از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دو، دوم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نند و در نها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لذت برتر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تجربه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‌كنند؛ اما آنان كه 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خواهش‌ها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زودگذر خود هستند،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‌توانند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لذا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ذِ ناپا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 بگذرند و از لذا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ذ معنو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محروم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‌مانند. بدون استثنا، همة آدم‌ها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موفق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موفق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از دسته‌ا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خواسته‌ها و خوش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 و لذت‌ها گذشته‌اند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بنابرا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مقصد،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با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درون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مزاحم كه ما را به امور متفرقه سرگرم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‌سازند و از توجه به حركت منصرف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‌كنند، مبارزه كرد.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روها در وجود همة ما انسان‌ها هست و هر روز و هر ساعت ما را به خود فرا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‌خواند. معمولاً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روها به هواها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نفسان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هوا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نفس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آنچه دلم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‌خواهد و خوشم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نفس همان‌گونه كه مانع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موفق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اجتماع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است، مانع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مقامات معنو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روحان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بدون ترد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كمالات معنو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رنج كش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بر دسته‌ا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تما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لات غر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خواسته‌ها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لذت‌بخش دن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پا نهاد. در احاد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ث،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اقدام، به جهاد اكبر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تلاش بزرگ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اد شده است.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در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حب دن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سر منشأ همه بد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 معرف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شده است، اشاره به نقش محور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مخالفت با هوا و هوس در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انسان دارد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30" w:name="_ednref29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"_edn29"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29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0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تاكنون معلوم شد كه دو گونه عمل دار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م: عمل برخاسته از غر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(شهوت و غضب) كه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عمل برخاسته از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 كه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ان،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برخلاف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صورت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رد، حتما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است؛ 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مقاومت در مقابل 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 شهو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غضب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تنها در انسان وجود دارد؛ اما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مطابق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 غر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باشد دارا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دو صورت است؛ چه بسا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باشد. اگر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با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فة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هماهنگ باشد و انگ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زة اصل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احساس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 باشد،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‌شود؛ اما اگر توجه به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 در آن نباشد و تنها با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انجام گرفته باشد،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به مخالفت با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 هوا در منابع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فراوان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31" w:name="_ednref30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"_edn30"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30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1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رسول‌الله(ص): «افضل الاعمال احمزها؛ برتر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اعمال دشوارتر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آنها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32" w:name="_ednref31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"_edn31"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31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2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ره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امبر اكرم(ص) آمده است كه: «هرگاه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دو امر مخ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‌شد، دشوارتر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آن دو را اخت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‌كرد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33" w:name="_ednref32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"_edn32"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32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3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امام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(ع) فرمود: «برتر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اعمال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جان خود را بدان اجبار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(و با كراهت و زحمت انجامش ده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)».</w:t>
      </w:r>
      <w:bookmarkStart w:id="34" w:name="_ednref33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"_edn33"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33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4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حضرت امام در كتاب شر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چهل حد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ث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فرموده‌اند استفاده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از اندازه از لذا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ذ و تمتعات ماد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عزم و ارادة انسان را كم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انسان هرچه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با 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 خود مخالفت كند و خود را از غرا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و لذا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ذ پره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دهد، قو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و ارادة بالاتر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35" w:name="_ednref34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"_edn34"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34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5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صبر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تعب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به موضوع عمل اشاره دارد، صبر است. صبر در فرهنگ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اسلام و ادب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نقش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از جمله، در احاد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 فراوان صبر به منزلة سرّ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 شمرده شده است؛ مانند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الامام الصادق(ع): «الصَّبْرُ رَأْسُ الا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مَانِ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</w:t>
      </w:r>
      <w:bookmarkStart w:id="36" w:name="_ednref35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"_edn35"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35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6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الامام الصادق(ع): «الصَّبْرُ مِنَ الا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مَانِ بِمَنْزِلَةِ الرَّأْسِ مِنَ الْجَسَدِ فَإِذَا ذَهَبَ الرَّأْسُ ذَهَبَ الْجَسَدُ كَذَلِكَ إِذَا ذَهَبَ الصَّبْرُ ذَهَبَ الا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مَان»‏</w:t>
      </w:r>
      <w:bookmarkStart w:id="37" w:name="_ednref36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"_edn36"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36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7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رسول‌الله(ع): «الصَّبْرُ نِصْفُ الا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مَانِ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</w:t>
      </w:r>
      <w:bookmarkStart w:id="38" w:name="_ednref37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"_edn37"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37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8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الامام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(ع): «الصبر ثمرة الا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</w:t>
      </w:r>
      <w:bookmarkStart w:id="39" w:name="_ednref38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"_edn38"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38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39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صبر 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ابواب سعادات و سر منشأ نجات از مهالك است، بلكه صبر، بل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را بر انسان آسان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‏كند و مشكلات را سهل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‏نما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عزم و اراده را قوّت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‏دهد و مملكت روح را مستقل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‏نما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و جزع و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‌تاب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علاوه بر عار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خود دارد و كاشف از ضعف نفس است، انسان را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‏ثبات و اراده را ضع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و عقل را سست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‏كند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40" w:name="_ednref39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"_edn39"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39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0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قت صبر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مخالفت با هوا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نفس، پا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برابر وسوسه‌ها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درون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مقاومت در مقابل تما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لات غر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به مقام عمل باز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‌گردد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انجام وظ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فه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همة ما با منطق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فه‌محور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عمل، و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موضوع آشنا هست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41" w:name="_ednref40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"_edn40"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40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1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عمل به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فه، عمل بر اساس تشخ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 و شناخت و عقل است كه از احساس رسالت و تعهد نشئت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 و انسان را برتر از چهار پا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تفاوت اساس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منطق زندگ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دن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غرب و منطق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فه‌محور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برشمرده‌اند. انسان غرب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دنبال ارضا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و دست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لذت فراوان‌تر است؛ اما انسان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دنبال انجام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 است.آنها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هدف محور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(لذت‌جو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) تلاش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 تا همة اعمال خود را با لذت هماهنگ كنند.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نمونه، درس خواندن و كار كردن و... را به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سرگرم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لذت‌بخش و نشاط‌آفر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تبد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‌كنند، به گونه‌ا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كاملاً بر اساس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 غر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 بدان عمل شود؛ اما در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لذت محور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ندارد. چه بسا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 ناخوشا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و بر خلاف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او باشد كه غالبا 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است و به 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به آن تكل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</w:t>
      </w:r>
      <w:bookmarkStart w:id="42" w:name="_ednref41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"_edn41"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41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2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اطلاق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انسان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گونه‌ا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شده باشد كه بتواند به راحت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خلاف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 بر اساس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 عمل كند و از خواهش‌ها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درگذرد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انسان مؤمن ممكن است كارها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لذت‌بخش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 انجام دهد، اما آن را نه به خاطر لذتش، كه به دل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 انجام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‌دهد؛ 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اگر صرفاً به انگ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زة لذت‌جو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باشد،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از سو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ممكن است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لذت‌بخش باشد؛ اما اگر فرض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لذت‌بخش و فرح‌آفر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هم نباشد، انسان مؤمن را وانم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‌نهد. انسان غرب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چون تنها به دنبال لذت است، اگر لذت از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رود، انگ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كار كردن ندارد؛ اما انسان مؤمن چون به دنبال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 است، اگر رسالت و مسئول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نب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ند، احساس پوچ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عمل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عمل‌محور در دستورالعمل‌ها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مرحوم 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ت‌الله بهجت(ره) شواهد بس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دارد و به صورت صر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و آشكار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شده است. تك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كلام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بزرگ، عمل به دانسته‌ها است. محور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عمل در كلام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شان، ناش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انتخاب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راهبرد است؛ 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تحول انسان، دستور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برتر و مهم‌تر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احساس مسئول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صَرف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نند. مشكل اساس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از نظر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ندانستن راه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ست؛ 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راه آشكار است و ما چندان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به تعلم و 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 دستور عمل ندار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مانع سست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ضعف اراده و عمل بر اساس هوا و هوس را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ان برداشت و به آنچه آشكار است مردانه عمل كرد. عمل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انجام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 و برخلاف خواسته نفس حركت كردن؛ «أَسْعَد النَّاسِ فِ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الدُّنْ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 مَنْ عَدَلَ عَمَّا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عْرِفُ ضَرَّهُ»؛</w:t>
      </w:r>
      <w:bookmarkStart w:id="43" w:name="_ednref42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"_edn42"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42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3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سعادتمندتر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مردم در دن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از آنچه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‌داند 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ان‌آور است، پره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كند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اكنون نمونه‌ها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سخنان و دستورالعمل‌ها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را ذكر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تا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 فراوان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معنادار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موضوع را به مثابه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استراتژ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الگو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مواجهه با مترب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نشان ده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آقا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‌كه طالب مواعظ هستند از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شان سؤال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‏شود: آ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 به مواعظ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كه تا به حال شن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ده‏ا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د، عمل كرده‏ا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د، 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 نه؟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 xml:space="preserve">... 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آ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 اگر عمل به معلومات ـ اخت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اراً ـ ننما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د، شا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سته است توقّع ز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ادت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معلومات؟</w:t>
      </w:r>
      <w:bookmarkStart w:id="44" w:name="_ednref43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"_edn43"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43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4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جماعت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هستند كه وعظ و خطابه و سخنران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را كه مقدمة عمل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ات مناسبه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‏باشند، با آنها معاملة ذ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‏المقدمه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‏كنند. كأنّه دستور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ن‏است كه: بگو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ند و بشنوند، برا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نكه بگو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ند و بشنوند! و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اشتباه است. تعل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 و تعلّم، برا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عمل، مناسب است و استقلال ندارند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45" w:name="_ednref44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"_edn44"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44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5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ما از عهدة تكل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ف خارج نم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‏شو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م، بلكه با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از عمل نت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جه بگ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 و محال است عمل ما ب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‌نت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جه باشد و نت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جه، از غ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 عمل حاصل شود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46" w:name="_ednref45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"_edn45"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45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6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غ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 از معصوم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كس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نم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‏تواند بگو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همه 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 را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‏دانم 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‏ب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نم و نم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‏تواند كس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بگو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ه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چ 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 را نم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‏دانم و همه جا تار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كم؛ بلكه هر عامل عاد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زها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را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‏داند و با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حركت كند و توقف ننما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47" w:name="_ednref46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"_edn46"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46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47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ه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چ‌كس 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ست كه بگو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ه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چ 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 نم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‏دانم (اگر بگو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د) دروغ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‏گو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د. هر كس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ـ غ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 معصوم ـ بعض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زها را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‏داند و بعض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زها را نم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‏داند آن 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زها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را كه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‏داند، اگر عمل كند، آن 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زها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را كه نم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‏داند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‏فهمد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48" w:name="_ednref47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"_edn47"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47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48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استاد، علم است و معلّم، واسطه است. عمل به معلومات بنما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و معلومات را ز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 پا نگذار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د، كاف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است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49" w:name="_ednref48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"_edn48"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48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49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lastRenderedPageBreak/>
        <w:t>آنچه را كه دانست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م، عمل نما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 و آنچه را كه ندانست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م، توقف و احت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اط نما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 تا معلوم شود، هرگز پش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و خسارت، در ما راه نخواهد داشت؛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عزم اگر در بنده ثابت و راسخ باشد، خدا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بزرگ، أول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به توف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ق و 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ار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خواهد بود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50" w:name="_ednref49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"_edn49"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49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50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آنچه را كه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‏داند، با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انجام دهد، و در آنچه كه نم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‏داند، با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احت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اط كند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51" w:name="_ednref50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"_edn50"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50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51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آنچه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د، عمل كن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د؛ و در آنچه نم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د، احت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اط كن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تا روشن شود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52" w:name="_ednref51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"_edn51"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51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52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آنچه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 بكن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م، در آنچه نم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م، توقف و احت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اط كن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 تا بدان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م، قطعاً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 راه پش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ندارد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53" w:name="_ednref52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"_edn52"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52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53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خداوند، توف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ق مرحمت فرما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كه آنچه را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م، ز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 پا نگذار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 و آنچه نم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 توقف و احت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اط نما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 تا معلوم شود. نباش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م از آنها كه گفته‏اند: پ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مصلحت مجلس آراستند، نشستند و گفتند و برخاستند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54" w:name="_ednref53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"_edn53"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53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54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خداشناس، مط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ع خدا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‏شود و سروكار با او دارد. آنچه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‏داند موافق رضا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اوست عمل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‏نما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د، و در آنچه نم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‏داند، توقف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‏نما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تا بداند. و آن به آن، استعلام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‏نما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و عمل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‏نما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55" w:name="_ednref54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"_edn54"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54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55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آن 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زها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را كه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د، عمل كن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و آن 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زها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را كه نم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د، از حالا توقف كن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و احت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اط كن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تا روشن شود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56" w:name="_ednref55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"_edn55"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55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56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آ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 كه هر كه عمل كرد به معلومات خودش، خداوند مجهولات او را معلوم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‏فرما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د؟</w:t>
      </w:r>
      <w:r w:rsidRPr="00B44D7B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bookmarkStart w:id="57" w:name="_ednref56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"_edn56"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56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57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آن 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زها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را كه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‏داند اگر عمل كند، آن 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زها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را كه نم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‏داند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‏فهمد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 xml:space="preserve">... 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وقت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به آنها عمل كرد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روشن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‏شود، به همان دل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كه 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نها را برا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شما روشن كرد، آنها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د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 را هم روشن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‏كند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58" w:name="_ednref57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"_edn57"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57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58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اگر به معلوماتش عمل كرد، د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 روشن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‏شود، د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گر توقّف ندارد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59" w:name="_ednref58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"_edn58"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58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59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استاد تو، علم توست؛ به آنچه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عمل كن، آنچه را كه نم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‏دان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، كفا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 م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‏شود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.</w:t>
      </w:r>
      <w:bookmarkStart w:id="60" w:name="_ednref59"/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instrText xml:space="preserve"> HYPERLINK "http://marefateakhlagi.nashriyat.ir/node/47" \l "_edn59" \o "" </w:instrTex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b/>
          <w:bCs/>
          <w:color w:val="000080"/>
          <w:sz w:val="24"/>
          <w:szCs w:val="24"/>
          <w:u w:val="single"/>
        </w:rPr>
        <w:t>59</w:t>
      </w:r>
      <w:r w:rsidRPr="00B44D7B">
        <w:rPr>
          <w:rFonts w:ascii="Times New Roman" w:eastAsia="Times New Roman" w:hAnsi="Times New Roman" w:cs="B Mitra"/>
          <w:b/>
          <w:bCs/>
          <w:color w:val="000000"/>
          <w:sz w:val="24"/>
          <w:szCs w:val="24"/>
        </w:rPr>
        <w:fldChar w:fldCharType="end"/>
      </w:r>
      <w:bookmarkEnd w:id="60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رو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كردها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مبتن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 xml:space="preserve"> بر اخلاق ولا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ت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آموزه‌ها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«ولا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ت» ارزش و اهم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شده است؛ تا جا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ولا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پا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اسلام و برتر از سا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اركان معرف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شده است. الامام الباقر(ع): «قَالَ بُنِ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الاسْلامُ عَلَ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خَمْسٍ عَلَ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الصَّلاةِ وَ الزَّكَاةِ وَ الصَّوْمِ وَ الْحَجِّ وَ الْوَلا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ةِ وَ لَمْ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نَادَ بِشَ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‏ءٍ كَمَا نُودِ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بِالْوَلا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ةِ؛ اسلام بر پنج پا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استوار است؛ بر نماز و زكات و روزه و حج و ولا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و به 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مانند ولا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دعوت نشده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61" w:name="_ednref60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"_edn60"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60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1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«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لو أن عبدا عبد الله ألف عام ما قبل الله ذلك منه إلا بولا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تك و ولا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الائمة من ولدك و إن ولا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تك 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قبل إلا بالبراءة من أعدائك و أعداء الائمة من ولدك بذلك أخبرن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جبرئ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فمن شاء فل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ؤمن و من شاء فل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كفر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62" w:name="_ednref61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"_edn61"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61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2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قرب به خدا فقط از طر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ولا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معصوم و وساطت حجت خدا ممكن است.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سع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 مانند همزة وصل دست مترب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دست ول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خدا دهد و 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راه خود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نشود. امامان معصوم باب‌الله هستند و معرفت خدا و بندگ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از مجرا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ض آنان افاضه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فرازها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ارت جامعة كب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ره در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مقام امام معصوم، كاملاً بر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معنا گواه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من اراد الله بدأ بكم و من وحده قبل عنكم و من قصده توجه بكم،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 xml:space="preserve">بكم فتح الله و بكم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ختم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فاز الفائزون بولا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تكم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بكم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سلك 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الرضوان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ذكر الخ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كنتم اوله و اصله و فرعه و معدنه و مأواه و منتهاه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من احبكم فقد احب الله و من اعتصم بكم فقد اعتصم بالله؛ به ضم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مه 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شر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فه و من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عتصم بالله فقد هد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صراط مستق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من اتاكم نج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من لم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أتكم هلك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سعد من والاكم و فاز من تمسك بكم و امن من لجأ 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كم و سلم من صدقكم و هد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 اعتصم بكم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مقدار اوج و عظمت،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در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مد نظر قرار 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رد.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از كنار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همه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به سادگ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گذشت.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مبتن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اخلاق ولا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به تب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 توض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مستقل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دارد كه لازم است به تفص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بدان پرداخته شود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داور</w:t>
      </w:r>
      <w:r w:rsidR="00B13F71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t>ی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كردها، چند گز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نة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دار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 انكار اصل ضرورت تمركز؛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 تنوع راهبرد به تنوع روح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مترب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؛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 تنوع راهبرد بر حسب اصناف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؛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 راهبرد منازل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مرحله به مرحله؛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 راهبرد تكثرگرا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پازل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 xml:space="preserve">1. 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انكار ضرورت تمركز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احتمال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اساساً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را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ازمند نقطة ثقل و تمركز ذهن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ندان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كبرا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مذكور مناقشه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بگو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با تكثر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 سازگار و امكان‌پذ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است؛ چه اشكال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 اگر فهرست طولان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خوب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 را به مترب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عرضه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اهتمام او را در آنِ واحد بر همة خوب‌ها و خوب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 توز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چه بسا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روش در درازمدت موجب نهاد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شدن همة آن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در جان مترب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شود و زم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 آن همه را كه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ازمند گذر زمان و رسوخ تدر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جان او است، فراهم آورد؛ كما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وقت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عنوان بصر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امام صادق(ع) درخواست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‌كند، حضرت او را به نه دستور سفارش كردند. عماربن مروان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دستورالعمل چهاربند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از آن امام نقل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‌كند؛ در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متعدد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شده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«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قُلْتُ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أَبَا عَبْدِ اللَّهِ أَوْصِنِ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قَالَ أُوصِ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بِتِسْعَةِ أَشْ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اءَ فَإِنَّهَا وَصِ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لِمُرِ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الطَّرِ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قِ إِلَ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اللَّهِ تَعَالَ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وَ اللَّهَ أَسْأَلُ أَنْ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وَفِّقَكلاسْتِعْمَالِهِ ثَلاثَةٌ مِنْهَا فِ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اضَةِ النَّفْسِ وَ ثَلاثَةٌ مِنْهَا فِ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الْحِلْمِ وَ ثَلاثَةٌ مِنْهَا فِ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الْعِلْمِ فَاحْفَظْهَا وَ إِ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اك وَ التَّهَاوُنَ بِهَا...؛</w:t>
      </w:r>
      <w:bookmarkStart w:id="63" w:name="_ednref62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"_edn62"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62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3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عَمَّار بْن مَرْوَان: أَوْصَانِ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أَبُو عَبْدِ اللَّهِ(ع) فَقَالَ أُوصِ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بِتَقْوَ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اللَّهِ وَ أَدَاءِ الامَانَةِ وَ صِدْقِ الْحَدِ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ثِ وَ حُسْنِ الصِّحَابَةِ لِمَنْ صَحِبْتَ وَ لا قُوَّةَ إِلا بِاللَّهِ؛</w:t>
      </w:r>
      <w:bookmarkStart w:id="64" w:name="_ednref63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"_edn63"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63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4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إِنَّ رَجُلا أَتَ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النَّبِ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(ص) فَقَالَ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رَسُولَ اللَّهِ أَوْصِنِ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فَقَالَ لا تُشْرِك بِاللَّهِ شَ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ئاً وَ إِنْ حُرِّقْتَ بِالنَّارِ وَ عُذِّبْتَ إِلا وَ قَلْبُك مُطْمَئِنٌّ بِالا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مَانِ، وَ وَالِدَ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فَأَطِعْهُمَا وَ بَرَّهُمَا حَ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نِ كانَا أَوْ مَ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نِ، وَ إِنْ أَمَرَاك أَنْ تَخْرُجَ مِنْ أَهْلِك وَ مَالِك فَافْعَلْ فَإِنَّ ذَلِك مِنَ الا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مَانِ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  <w:bookmarkStart w:id="65" w:name="_ednref64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"_edn64"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64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5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به هر حال، اگر بپذ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در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است‌گذار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كلان فرآ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به نقطه كانون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ندار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همة ارزش‌ها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را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‌توان هم‌عرض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ارائه كرد، آن‌گاه اصرار و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ارباب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مذكور بر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موضوع به منزلة كانون فعال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كاملاً سل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‌پشتوانه خواهد بود. بنابرا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موظف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مخاطب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را به جامع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سوق ده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 و هرگاه به سبك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كردها، فض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لت خاص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برجسته‌ساز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بلافاصله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كه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فض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لت تنها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در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تِ جامعِ انسانِ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افتة مومن پد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د‌ 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اثبات 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ء هرگز دل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نف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از آن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اساس، افعل تفض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در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مذكور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از معنا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ظاهر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فرود 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بر مطلق فض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لت و نه افضل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حمل شود. قر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نة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عدول از معنا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ظاهر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جمع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ان ادله است؛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دل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وجود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متعارض، از معنا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متبادر ظاهر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دست برم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 xml:space="preserve">2. 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تنوع راهبرد به تنوع روح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ات مترب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احتمال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به نقطه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تمركز را به رسم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بشناس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م؛ اما برحسب تكثر مخاطب و تنوع حالات و روح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او، قائل به تكثر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و تنوع راهبرد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را متفاوت بدان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 و با هر كس از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نقطة متناسب او آغاز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شناخت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از مخاطب و اطوار روح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به دست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‌آورد، مؤظف است راهبرد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را معلوم سازد و با نوع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حضور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اقتضا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نقطة محور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جان او تشخ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 دهد.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الگو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تع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ن‌شده مع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ندارد.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ن‌رو،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ز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موضوع مشخص را به منزلة اولو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در همه موارد دنبال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ذ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شاهد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مدعاست. 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ات،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اشخاص ارائه شده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جَاءَ رَجُلٌ إِلَ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النَّبِ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(ص) فَقَالَ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رَسُولَ اللَّهِ أَوْصِنِ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. فَقَالَ احْفَظْ لِسَانَك. قَالَ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رَسُولَ اللَّهِ أَوْصِنِ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. قَالَ احْفَظْ لِسَانَك. قَالَ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رَسُولَ اللَّهِ أَوْصِنِ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. قَالَ احْفَظْ لِسَانَك. وَ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حَك وَ هَلْ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كبُّ النَّاسَ عَلَ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مَنَاخِرِهِمْ فِ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النَّارِ إِلا حَصَائِدُ أَلْسِنَتِهِمْ؛</w:t>
      </w:r>
      <w:bookmarkStart w:id="66" w:name="_ednref65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"_edn65"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65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6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بن سو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قُلْتُ لاب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الحسن(ع) أَوْصِنِ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فَقَالَ آمُرُك بِتَقْوَ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اللَّهِ ثُمَّ سَكتَ؛</w:t>
      </w:r>
      <w:bookmarkStart w:id="67" w:name="_ednref66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"_edn66"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66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7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جَاءَ رَجُلٌ إِلَ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النَّبِ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(ص) فَقَالَ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رَسُولَ اللَّهِ أَوْصِنِ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فَقَالَ لاتَدَعِ الصَّلاةَ مُتَعَمِّداً فَإِنَّ مَنْ تَرَكهَا مُتَعَمِّداً فَقَدْ بَرِئَتْ مِنْهُ مِلَّةُ الاسْلامِ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68" w:name="_ednref67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"_edn67"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67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8"/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همة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احاد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 و احاد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 مشابه</w:t>
      </w:r>
      <w:bookmarkStart w:id="69" w:name="_ednref68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"_edn68"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68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69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نوع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اكتفا به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ة واحد را مشاهده كرد؛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برخلاف احتمال اول،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ابتدائاً واحد است. امام معصوم در برخورد اول تنها به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دستور اكتفا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‌كنند؛ اما اگر مخاطب تقاضا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از آن داشته باشد، از او 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 ندارند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استناد به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در صورت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رواست كه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را در مقام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بدان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م؛ اما اگر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در مقام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به معنا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ست، بلكه در مقام تعل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خوب و بدهاست و به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عموم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نظر دارد،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بدان استناد كرد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ممكن است اشتراك انسان‌ها در فطرت واحد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با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نظر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در صورت كلان خود مغا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بدان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از آنجا كه انسان‌ها فطرت واحد دارند،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پذ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رفت كه راهبرد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آنان به‌كل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متفاوت باشد. اگر سرما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ه‌ها و محدود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انسان‌ها مشترك است، مس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تحول آنان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مشترك خواهد بود. بنابرا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لااقل در سطح 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‌توان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راهبرد واحد را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همة انسان‌ها در نظر گرفت و عبارت «الطرق 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الله بعدد انفاس الخلائق» و 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ة «و لكل وجهه هو مول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ها» را به حوزة جزئ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اختصاص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پرسش فعل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ن‌گونه است كه قرآن كر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انسان، به قول مطلق، چه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در نظر گرفته است. نه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تا مراحل و منازل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رفته است.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هركس به اقتضا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اختصاصات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دارد؛ اما از سو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هم همة انسان‌ها به اقتضا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خود با هم اشتراكات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دارند. اگر بخواه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تنها با نظر به آن اشتراكات استراتژ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را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چه دستاورد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م؟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هر حال، اگر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وجه جمع را بپذ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بگو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با هر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تناسب روح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و احوال او مواجه شد و راهبرد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دنبال كرد، آن‌گاه هر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از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ش‌گفته مخاطب خاص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 و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روح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قابل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 بر اساس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خاص مخاطب،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كردها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برگز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و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كند. طبعاً با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نگاه، راهبردِ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موارد منحصر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و بسته به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مترب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تغ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‌كند. به 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ترت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ب، راز اختلاف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را هم در اختلاف مخاطبان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جست.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مثال، اگر شخص ثروتمند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كه دائم در نماز جماعت شركت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‌كند از افضل‌الاعمال سؤال كند، نبا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نماز را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به عنوان برتر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عمل معرف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كرد. برتر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عمل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چن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احتمالاً دست‌گ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درماندگان و انفاق در راه خداست. برعكس اگر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سخاوت و خدمت شهره باشد، اما در نماز سهل‌انگار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كند، برتر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عمل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نماز و ارتباط با خداست.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مادر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ض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منزل دارد و در نماز جماعت هم مرتب حضور دارد، برتر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عمل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او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مادر است. سعد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سخن 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«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ملوك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انصاف، پارسا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پرس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از عبادت‌ها كدام فاضل‌تر است؟ گفت: تو را خواب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م‌روز تا در آن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نفس خلق را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احتمال قو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امام معصوم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مخاطب را در پاسخ در نظر گرفته و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ه را به صورت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قض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خارج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نه قض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حق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كرده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 xml:space="preserve">3. 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تنوع راهبرد بر حسب اصناف شخص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احتمال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چند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كلان فرض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انسان‌ها را در چند 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پ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مشمول آن چند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بشناس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نمونه، راهبرد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سه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عمل‌محور، معرفت‌محور و محبت‌محور منحصر بدان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مترب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را بر اساس آن طبقه‌بند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سه راهبرد مبتن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اخلاق فرد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اخلاق بندگ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اخلاق اجتماع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اصناف متفاوت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70" w:name="_ednref69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"_edn69"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69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0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تفاوت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احتمال با صورت قبل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احتمال، راهبردها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 محدود هستند؛ اما در احتمال گذشته راهبردها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فراوان و متعدد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فرض شده بود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 xml:space="preserve">4. 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راهبرد منازل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مرحله به مرحله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احتمال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به مركز ثقل را بپذ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م؛ اما مركز ثقل فرآ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را بر اساس گذر از مراحل رشد، متنوع و متعدد در نظر بگ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همراه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 مترب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راهبرد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را به تناسب موقع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او تغ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‌دهد.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مثال،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قدم اول رشد قرار دارد،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به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 عمل‌محور داشته باشد، اما در قدم بعد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به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كرد معرفت‌محور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...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راهبرد مبنا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منازل سلوك عرفان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به سل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متعدد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تدو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شده است. در تعداد و ترت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منازل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اختلاف فراوان وجود دارد. به مرحله‌بند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معروف 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توجه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: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1.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تخل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تحل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تجل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ه؛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2.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علم 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حق 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ن؛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3.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اسلام،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مان، احسان؛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4.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اسفار اربعه؛ من الخلق 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الحق، 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الحق بالحق، من الحق 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الخلق و 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الخلق بالحق؛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5.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عقا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اخلاق، احكام، آداب؛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6.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اسلام،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مان، هجرت، جهاد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مقابلِ كسان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دن به خدا تنها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مرحله قائل‌اند و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ند: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قدم بر خو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نِه و آن دگر در كو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دوست، خواجه عبدالله انصار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منازل‌السائر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كه برتر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متن كلاس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عرفان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محسوب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صد منزل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سلوك ذكر كرده، هر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منازل را در سه سطح عوام، خواص و اخص‌الخواص مرتب ساخته است. خواجه نص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رالد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طوس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اوصاف‌الاشراف به سبك و ترت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منازل سلوك را 31 منزل برشمرده است كه 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ت‌الله جواد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كتاب مراحل اخلاق در قرآن بدان ملتزم شده‌اند. بوعل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نا در نمط نهم كتاب الاشارات و التنب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هات، ده درجه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عرفان در نظر گرفته است. قش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رسالة خود نظام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شنهاد كرده و ابوطالب مك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قوت‌القلوب به نه منزل اكتفا كرده است.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دبحرالعلوم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در رسالة تحفه‌الملوك دوازده مرحله ارائه داده است. مدارج‌الكمال بابا افضل كاشان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مشتمل بر هفت درجه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كمال است. برخ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با استناد به حد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 نبو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«مدرجه الزهد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»</w:t>
      </w:r>
      <w:bookmarkStart w:id="71" w:name="_ednref70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"_edn70"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70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1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تنوع و تكثر خرده گرفته و بر اساس نظام موجود در حد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ث، مراحل سلوك را صبر، قناعت، رضا، زهد، اخلاص و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معرف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كرده،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پلكان حركت آن را توكل دانسته‌اند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bookmarkStart w:id="72" w:name="_ednref71"/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"_edn71"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71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2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هر حال، 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تاكنون تحق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جامع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انجام نشده است و همچنان مجال تحق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و تأمل وجود دارد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نگاه،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مراحل خاص دوران رشد انسان اختصاص داد.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نمونه، ممكن است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دوره از مراحل رشد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معنو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مبتن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اخلاق فرد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باشد و دورة بعد مبتن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 اخلاق بندگ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و.... به 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ترت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ب،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ش‌گفته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ناظر به شرا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رشد مخاطب تلق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‌شود؛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هر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از آن موضوعات، در مرتبه و جا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گاه خود افضل‌الاعمال است و با در نظر گرفتن 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ود و شرا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ن‌ناپذ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محسوب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 xml:space="preserve">5. 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راهبرد تكثرگرا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پازل</w:t>
      </w:r>
      <w:r w:rsidR="00B13F71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</w:rPr>
        <w:t>: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احتمال اصل تمركز انكار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‌شود، بلكه ضرور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دانسته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از سو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همه اهداف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مهم و تقر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باً هم عرض شناخته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‌شوند و بر اساس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استراتژ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ط‌محور و اقتضا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در مقاطع زمان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گوناگون به تناسب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از فرد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 اجتماع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اهداف برجسته‌ساز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عرضه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مثال،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بر اساس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راهبرد، در مقام خودساز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خانواده،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فرهنگ‌ساز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اجتماع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هر چند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ك‌بار بر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موضوع متمركز شو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تبل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غات گستردة متراكم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نهاد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ساختن آن انجام ده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تا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نت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جه،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روان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ادامه ده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اهداف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مانند اجزا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پازل همه در جا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گاه خود ضرور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‌اند و چندان تقدم و تأخر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آنها وجود ندارد. از هر كجا شروع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ـ مشروط به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نكه همة زم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را پوشش ده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قلم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ـ مف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است.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اهداف مثل درس‌ها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كتاب است كه دانستن آن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دانش‌آموز ضرور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و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ك‌به‌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جذب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او شود؛ اما 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اولو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اول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آنها وجود ندارد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با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نگاه،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صورت خرد به مهندس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دست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افت. در هر زمان كه با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مشكل خاص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مواجه شد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آن همت گمار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آن را مانند نقطه‌ا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ك نقشة كلان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مرحله‌ا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برنامة عظ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اصلاح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نظر 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م تا در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نگاه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با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توجه فراگ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ر، جامع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و مانع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برنامة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خوب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تأم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شود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كه بر سال‌ها و هفته‌ها نام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مفهوم ارزش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‌نهند و در طول آن زمان، بر آن موضوع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تبل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‌كنند.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است در جهت 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درك فعال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فرآ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تحول است.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اقدامِ گام‌به‌گام اگر به خوب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دنبال شود و استمرار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ابد، به رفع آس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تحول پا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دار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همة عرصه‌ها منته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خواهد شد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 اساس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نگاه،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كردها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مزبور هرگز باهم ناسازگار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ستند و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را نف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‌كنند، بلكه هر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تنها سهم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زم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نة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را با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اصرار پوشش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‌دهند. در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مذكور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از معنا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تفض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صرف‌نظر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 و 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غة افعل تفض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را بر معنا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وصف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(اثبات 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ء و نه نف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ماعدا) حمل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م. كاربرد تفض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و ذكر افضل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در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شا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دل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جلب توجه و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جاد تأك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تمركز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بوده باشد. به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گر، امامان معصوم به تناسب شرا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 و مقاطع تار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جغراف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از مخاطبان، هر چند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ك‌بار بر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 موضوع متمركز شده و برنامة تبل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ژه‌ا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اجرا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‌كردند؛ اما امروزه كه همة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 ادله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ك‌جا گرد آمده است، در ظاهر نوع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تهافت و ناسازگار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نظر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‌رسد؛ در حال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‌كه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همه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انسان لازم است و 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تدر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 در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او شكل 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نكتة مهم 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احتمال آن است كه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نوع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وستگ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معارف و صفات را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ادعا كرد. بد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صورت كه از هر جا كه آغاز كن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به جهت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وستگ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محتوا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هماهنگ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درون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معارف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‌توان انتظار داشت كه همة معارف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گر بدان اتصال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ابند و به دنبال آن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ند. فرض هم بر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چندان تفاوت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نقطة آغاز وجود ندارد؛ چه بسا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صبر شروع كند و همه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ل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عمدة آنها از طر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صبر به دست آورد؛ ممكن است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عقل شروع كند و به تبع تقو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عقل به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گر دست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ابد؛ ممكن است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صفات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شروع كند؛ به هر حال، همة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ل به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گر مربوط و از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گر متأثرند. مهم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 كه جامع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از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نرود و منظومة آن به هم نخورد.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معنو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سان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ك دستة گلِ به‌هم بسته است؛ هرگاه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آنها را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رون كش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م، همه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رون خواهد آمد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color w:val="000000"/>
          <w:sz w:val="28"/>
          <w:szCs w:val="28"/>
        </w:rPr>
      </w:pPr>
      <w:r w:rsidRPr="00B44D7B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</w:rPr>
        <w:lastRenderedPageBreak/>
        <w:t>منابع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ابن شهر‌آشوب، محمد بن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مناقب آل اب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طالب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‌جا، المطبعه الح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1375 ق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اصفهان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راغب،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مفردات الفاظ القرآن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با تحق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مرعش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مؤسسه مطبوعات اسماع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ان،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‌تا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بحران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دهاشم،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البرهان ف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تفس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 القرآن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روت، موسسه الوفاء، 1403 ق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آمد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عبدالواحد،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غرر الحکم و درر الکلم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دفتر تبل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غات اسلام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1366 ش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جمع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نو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سندگان،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کتابشناخت اخلاق اسلام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پژوهشگاه علوم و فرهنگ اسلام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1386ش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حران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حسن بن حسن بن شعبه، تحف العقول، قم، جامعه مدرس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1404 ق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الحل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احمد بن محمد بن فهد،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عدة الداع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و نجاة الساع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تحق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احمد موحد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تهران: مکتبه وجدان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الحل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بن موس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معروف به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ابن طاووس،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اقبال الاعمال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تحق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جواد 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وم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دفتر تبل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غات اسلام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1414ق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دلشاد تهران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مصطف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س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ره نبو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سازمان چاپ و انتشارات وزارت فرهنگ و ارشاد اسلام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1372 ش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دهخدا،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اکبر،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لغت‏نامه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دانشگاه تهران، 1373ش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محمد بن حسن،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ارشاد القلوب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روت: مؤسسة الاعلم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1398ش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دمهد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به سو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محبوب، دستور العمل‏ها و رهنمودها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از حضرت آ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ة الله بهجت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شفق 1377ش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دحسن،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کلمة الامام مهد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Cambria" w:eastAsia="Times New Roman" w:hAnsi="Cambria" w:cs="Cambria" w:hint="cs"/>
          <w:b/>
          <w:bCs/>
          <w:i/>
          <w:iCs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i/>
          <w:iCs/>
          <w:color w:val="000000"/>
          <w:sz w:val="24"/>
          <w:szCs w:val="24"/>
        </w:rPr>
        <w:t>?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آفاق،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‌تا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صدوق، محمدبن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بن‌الحس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(ابن بابو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الامال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موسسه البعثه، مرکز الطباعه و النشر، 1375 ش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 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الخصال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ترجمه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عقوب جعفر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نشر نس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کوثر، 1382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 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صفات الش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عه و فضائل الش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ترجمه حس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فشاه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کتابخانه شمس، 1342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 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معان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الاخبار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تصح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‏اکبر غفار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جامعه مدرس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حوزه علم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قم، 1361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 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من لا 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حضره الفق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تصح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‏اکبر عقاد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جماعه المدرس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الحوزه العلم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1404 ق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صفا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حائر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مسئول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 و سازندگ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مؤسسه انتشارات هجرت 1379ش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طباطبا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دمحمدحس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اصول فلسفه و روش رئال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سم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انتشارات صدرا،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‌تا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lastRenderedPageBreak/>
        <w:t>ـــــ 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الم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زان ف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تفس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 القرآن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دفتر انتشارات اسلام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1417 ق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 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سنن النب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کتاب‏فروش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اسلام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1375 ش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طبرس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بن حس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مشکاة الانوار ف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غرر الاخبار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تحق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ق مهد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هوشمند، قم، دارالحد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ث، 1418 ق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طوس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محمد بن حسن،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الامال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دار الثقافه، 1372 ش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 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تهذ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 الاحکام ف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شرح المقنعه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تصح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‏اکبر غفار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مکتبه الصدوق، 1376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عامل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حر،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وسائل الش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عة ال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تحص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ل مسائل الشر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عة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مؤسسه آل الب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ت، 1409 ق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، محمد بن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عقوب،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الکاف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تهران: مکتبه الصدوق، 1381 ق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مجلس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علامه محمد باقر،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بحارالانوار الجامعه لدرر اخبار الائمه الاطهار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روت: دار اح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اء التراث العرب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1403 ق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محمد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‌شهر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محمد،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زان الحکمة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قم، دار الحد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ث، 1416 ق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مطهر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مرتض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آشنا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با قرآن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صدرا، 1373 ش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 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مجموعه آثار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صدرا، 1376 ش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 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مجموعه گفتارها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صدرا، 1361 ش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محمد بن محمد،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الامال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تصح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ح: حس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استادول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‏اکبر غفار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جماعه المدرس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الحوزه العلم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ه، 1403 ق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امام خم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(ره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چهل حد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ث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موسسه تنظ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نشر آثار امام خم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1383ش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ـــــ 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صح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فه امام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تهران، موسسه تنظ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نشر آثار امام خم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1380 ش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13F71" w:rsidP="00B44D7B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>
        <w:rPr>
          <w:rFonts w:ascii="Times New Roman" w:eastAsia="Times New Roman" w:hAnsi="Times New Roman" w:cs="B Mitra"/>
          <w:color w:val="000000"/>
          <w:sz w:val="24"/>
          <w:szCs w:val="24"/>
        </w:rPr>
        <w:pict>
          <v:rect id="_x0000_i1025" style="width:148.95pt;height:.75pt" o:hrpct="330" o:hralign="right" o:hrstd="t" o:hr="t" fillcolor="#a0a0a0" stroked="f"/>
        </w:pict>
      </w:r>
    </w:p>
    <w:bookmarkStart w:id="73" w:name="_ftn1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"_ftnref1"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*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3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دانش آموخته حوزة علم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و مد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گروه اخلاق پژوهشگاه علوم و فرهنگ اسلام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 </w:t>
      </w:r>
      <w:hyperlink r:id="rId5" w:history="1">
        <w:r w:rsidRPr="00B44D7B">
          <w:rPr>
            <w:rFonts w:ascii="Times New Roman" w:eastAsia="Times New Roman" w:hAnsi="Times New Roman" w:cs="B Mitra" w:hint="cs"/>
            <w:color w:val="000080"/>
            <w:sz w:val="24"/>
            <w:szCs w:val="24"/>
            <w:u w:val="single"/>
          </w:rPr>
          <w:t>mhnoori@gmail.com</w:t>
        </w:r>
      </w:hyperlink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افت: 10/7/89 ـ پذ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رش: 10/11/89</w:t>
      </w:r>
    </w:p>
    <w:p w:rsidR="00B44D7B" w:rsidRPr="00B44D7B" w:rsidRDefault="00B13F71" w:rsidP="00B44D7B">
      <w:pPr>
        <w:shd w:val="clear" w:color="auto" w:fill="FFFFFF"/>
        <w:spacing w:after="0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>
        <w:rPr>
          <w:rFonts w:ascii="Times New Roman" w:eastAsia="Times New Roman" w:hAnsi="Times New Roman" w:cs="B Mitra"/>
          <w:color w:val="000000"/>
          <w:sz w:val="24"/>
          <w:szCs w:val="24"/>
        </w:rPr>
        <w:pict>
          <v:rect id="_x0000_i1026" style="width:148.95pt;height:.75pt" o:hrpct="330" o:hralign="right" o:hrstd="t" o:hr="t" fillcolor="#a0a0a0" stroked="f"/>
        </w:pict>
      </w:r>
    </w:p>
    <w:bookmarkStart w:id="74" w:name="_edn1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4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اطلاق مقام و منزل به مراحل سلوک عرفان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جهت باشد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75" w:name="_edn2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"_ednref2"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5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تمرکز ذهن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امروزه با عنوان‌ها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جد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مانند تکنولوژ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فکر، ذهن برتر، تلق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به نفس، و... در تکن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موفق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به زبان روان‌شناس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‌گردد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76" w:name="_edn3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lastRenderedPageBreak/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"_ednref3"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6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آمد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غررالحکم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حد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 10942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77" w:name="_edn4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"_ednref4"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7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راهنما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رانندگ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با تبل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غات گسترده و متنوع و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با استفاده از ابزارها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تبل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غ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هنر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عمل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روان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فراگ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را کل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زده و در زمان طولان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توانسته است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را به باور و تلق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عام تبد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کند و عادات رفتار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مردم را در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دان رانندگ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تغ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دهد.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تحول فرهنگ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تنها با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تمرکز و زم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نه‌ساز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امکان داشته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78" w:name="_edn5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"_ednref5"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5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8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ر.ک: توش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کو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زوتسو،</w:t>
      </w:r>
      <w:r w:rsidRPr="00B44D7B">
        <w:rPr>
          <w:rFonts w:ascii="Cambria" w:eastAsia="Times New Roman" w:hAnsi="Cambria" w:cs="Cambria" w:hint="cs"/>
          <w:b/>
          <w:bCs/>
          <w:i/>
          <w:iCs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خدا و انسان در قرآن؛ و مفاه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 اخلاق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د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در قرآن مج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79" w:name="_edn6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"_ednref6"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79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البته توجه دار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که دست‌کار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نقطه کانون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علت تامه تحول سا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ابعاد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ست. بلکه تنها مقتض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 است.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نقطه، عامل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 که در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انسان سهم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دارد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80" w:name="_edn7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"_ednref7"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7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0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اطلاع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ر.ک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: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کتابشناخت اخلاق اسلام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بحث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ژه، ص 243 تا 251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81" w:name="_edn8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"_ednref8"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8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1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همدان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رساله فتوت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مقدمه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82" w:name="_edn9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"_ednref9"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9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2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ر. ک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: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فتوت‌نامه سلطان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</w:rPr>
        <w:t>.</w:t>
      </w:r>
    </w:p>
    <w:bookmarkStart w:id="83" w:name="_edn10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"_ednref10"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10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3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کاف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ج8، ص 307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84" w:name="_edn11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"_ednref11"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11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4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اطلاع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کرد ر.ک: جمع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نو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سندگان، همان، بحث 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ژه، ص 311 تا 318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85" w:name="_edn12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"_ednref12"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12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5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نهج البلاغه، نامة 53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86" w:name="_edn13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"_ednref13"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13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6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 «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حبّ الدن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ا» که سر سلسلة همه بد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‏ها و دردهاست فرزند عدم معرفت به کمال خداست. «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أس و نا 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فرآوردة غفلت از مهر و عطوفت و توان خداست. «گناه و نافرمان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» محصول نشناختن عظمت و بلند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مقام خالق هست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است. کس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‏که خدا را حاضر و ناظر بب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چگونه در محضر او معص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‏کند؟ و خلاصه آن‏که همة صفات انسان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ارزش‌ها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معنو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اخلاص، شجاعت، سخاوت، قناعت، توکل، تعبّد، تفو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ض، شکر، صبر، تقوا، صداقت، تواضع، زهد، 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د، آرامش و... از سرچشمة توح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معرفت به خدا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راب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‏شود و در مقابل، غفلت، 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ا، نفاق،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رنگ، طمع، ترس، بخل، حرص، کبر، اضطراب، عجب، غرور،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رت،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أس، جزع، و... 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شه در شرک دارد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ارتباط توح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با مفاه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نگاه اول، ارتباط 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شه و شاخه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 مادر و فرزند است. امّا به‏واقع مناسبت آن‏ها از نوع ارتباط روح و جسم است.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توح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در همة تعال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حضور دارد و صفات پسند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دة اخلاق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مصداق 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معرفت توح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‌اند نه مولود آن. 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زم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 مراجعه کن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به الم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زان، ج 1، ص 354 تا 375 ذ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155 سورة بقره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87" w:name="_edn14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"_ednref14"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14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7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دبن طاووس،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اقبال الاعمال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685، مناجات شعبان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88" w:name="_edn15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"_ednref15"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15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8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178، اعمال شب 19 ماه مبارک رمضان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89" w:name="_edn16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"_ednref16"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16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89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فلسفه اخلاق، ص 148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90" w:name="_edn17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"_ednref17"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17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0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اشاره به فرما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امام صادق(ع): اثامن بالنفس النف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سه ربها، بها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نفس گرانبها را پروردگارش قرار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‌دهم.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امام سجاد وقت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شان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‌پرسند: از همه مردم بزرگتر ك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ست؟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‌فرما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د: كس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كه در مقابل نفس خودش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چ 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اهم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قائل نباشد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91" w:name="_edn18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"_ednref18"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18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1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فلسفه اخلاق، ص 166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92" w:name="_edn19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lastRenderedPageBreak/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"_ednref19"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19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2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نهج البلاغه، حکمت 449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93" w:name="_edn20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"_ednref20"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20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3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ابن شعبه حران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تحف العقول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483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94" w:name="_edn21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"_ednref21"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21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4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ر.ک: کتاب‌ها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و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در اسلام، فلسفه اخلاق، حکمت‌ها و اندرزها (ج1)، و گفتارها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معنو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95" w:name="_edn22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"_ednref22"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22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5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ممکن است مراد از معرفت نفس، معرفت به فقر وجود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خود باشد. 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صورت از محل بحث ما خارج خواهد شد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96" w:name="_edn23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"_ednref23"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23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6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محمدباقر مجلس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بحارالانوار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2، ص 32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97" w:name="_edn24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"_ednref24"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24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7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فلسفه اخلاق، ص 197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98" w:name="_edn25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"_ednref25"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25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8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در دستگاه اخلاق فلسف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برا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دن به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اعتدال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سه مرحله در نظر گرفته شده است. ابتدا اعتدال در قوه شهو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به عنوان مقصد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در نظر گرفته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پس از آن اعتدال در قوه غضب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و سپس اعتدال در قوه عاقله. و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چگونگ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وزان ترت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طب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پ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سه قوه در جان است. ز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کودک انسان ابتدا تنها بر اساس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شهوت عمل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‌کند. آرام آرام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غضب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در وجود او پد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‌آ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منشأ عمل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‌گردد. در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 بلوغ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 به 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عقل و منطق مجهز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‌شود. بد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ترت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تمرکز ذهن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روان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مقام ترب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بر اعتدال شخص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ت و در هر مرحله بر 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ک زاو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آن قرار گرفته است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99" w:name="_edn26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"_ednref26"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26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99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 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امام </w:t>
      </w:r>
      <w:proofErr w:type="gramStart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</w:t>
      </w:r>
      <w:proofErr w:type="gramEnd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چهل حد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ث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ص7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00" w:name="_edn27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"_ednref27"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27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00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125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01" w:name="_edn28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"_ednref28"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28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01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126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02" w:name="_edn29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"_ednref29"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29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02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حب الدن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راس کل خط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ئه، 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الکاف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ج2، ص 130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03" w:name="_edn30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"_ednref30"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30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03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مخالفت با نفس در زبان روا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به گونه‌ها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مختلف تأک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و توص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 شده است. برخ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از عناو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در لسان احاد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تأک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را 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‌کنند عبارت‌اند از: ذل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 ساختن نفس، الجام النفس، 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انت نفس، مه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من بر نفس بودن،‌ جهاد با نفس، محاسبه النفس، ق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 النفس، تعاهد النفس، ملک النفس، اصلاح النفس، تأد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النفس، عنا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به نفس، خلاف النفس، 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اضه النفس، 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اسه النفس، ضبط النفس، مکابده الهو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اهانه النفس، قمع النفس، الادبار عن النفس، مواخذه النفس، منع النفس، السخط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النفس، اتهام النفس، توب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 النفس، زجر النفس، مذمه النفس، ملامه النفس، تهذ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 النفس، ردع النفس، ... و در مقابل آن 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عناو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مذمت شده است: مداهنه با نفس، مسامحه با نفس، رخصت به نفس،‌ الثقه بالنفس،‌ اهمال النفس، طاعه النفس، متابعه النفس، ائتمان به نفس، الاستنام ال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النفس، رضا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 از نفس. (ر.ک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: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تصن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 غرر الحکم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،‌ ص 235 تا 243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</w:p>
    <w:bookmarkStart w:id="104" w:name="_edn31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"_ednref31"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31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04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محمدباقر مجلس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بحارالانوار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67، ص 191 و 237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05" w:name="_edn32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"_ednref32"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32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05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دمحمدحس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طباطبائ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سنن النب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45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06" w:name="_edn33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"_ednref33"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33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06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نهج البلاغه، حکمت 249</w:t>
      </w:r>
    </w:p>
    <w:bookmarkStart w:id="107" w:name="_edn34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"_ednref34"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34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07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امام </w:t>
      </w:r>
      <w:proofErr w:type="gramStart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خم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(</w:t>
      </w:r>
      <w:proofErr w:type="gramEnd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ره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چهل حد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ث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105، حد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 ششم و ص 8، حد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 اول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08" w:name="_edn35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"_ednref35"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35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08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کاف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ج2، ص 87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09" w:name="_edn36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lastRenderedPageBreak/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"_ednref36"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36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09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ج2، ص 88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10" w:name="_edn37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"_ednref37"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37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10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محمدبن حسن 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لم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ارشاد القلوب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ج1، ص 127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11" w:name="_edn38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"_ednref38"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38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11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تم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آمد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غررالحکم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حد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ث 6217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12" w:name="_edn39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"_ednref39"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39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12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امام خم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چهل حد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ث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262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13" w:name="_edn40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"_ednref40"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40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13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همه ما مأمور به ادا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تکل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 و وظ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فه‏ا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 نه مأمور به نت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جه. اگر همه انب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 و معصوم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ن-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 السلام- در زمان و مکان خود مکلف به نت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جه بودند، هر گز نم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‏با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ست از فضا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‏ب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شتر از توانا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عمل خود فراتر بروند و سخن بگو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ند و از اهداف کل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بلند مدت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که هرگز در ح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ات ظاهر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آنان جامه عمل نپوش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ده است ذکر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به 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ان آورند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 (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صح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فه امام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ج‏21، ص: 285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)</w:t>
      </w:r>
    </w:p>
    <w:bookmarkStart w:id="114" w:name="_edn41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"_ednref41"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41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14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از ماده كلفت</w:t>
      </w:r>
    </w:p>
    <w:bookmarkStart w:id="115" w:name="_edn42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"_ednref42"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42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15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محمدباقر مجلس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بحارالانوار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72، ص 355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16" w:name="_edn43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"_ednref43"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43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16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دمهد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به سو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محبوب، رهنمودها و دستورالعمل‌ها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 xml:space="preserve"> حضرت آ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ه الله بهجت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39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17" w:name="_edn44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"_ednref44"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44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17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35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18" w:name="_edn45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"_ednref45"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45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18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37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19" w:name="_edn46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"_ednref46"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46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19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83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20" w:name="_edn47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"_ednref47"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47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20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78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21" w:name="_edn48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"_ednref48"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48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21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 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دمهد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ساع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همان، ص 56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22" w:name="_edn49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"_ednref49"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49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22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23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23" w:name="_edn50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"_ednref50"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50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23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25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24" w:name="_edn51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"_ednref51"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51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24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28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25" w:name="_edn52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"_ednref52"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52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25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37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26" w:name="_edn53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"_ednref53"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53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26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40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27" w:name="_edn54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"_ednref54"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54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27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46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28" w:name="_edn55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"_ednref55"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55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28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78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29" w:name="_edn56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"_ednref56"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56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29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39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30" w:name="_edn57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lastRenderedPageBreak/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"_ednref57"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57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30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78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31" w:name="_edn58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"_ednref58"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58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31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77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32" w:name="_edn59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"_ednref59"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59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32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55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33" w:name="_edn60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"_ednref60"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60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33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کاف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ج2، ص 18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34" w:name="_edn61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"_ednref61"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61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34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التحص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ن، ص 539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35" w:name="_edn62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"_ednref62"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62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35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محمدباقر مجلس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بحارالانوار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1، ص 226؛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بن حس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طبرس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مشکاة الانوار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325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36" w:name="_edn63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"_ednref63"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63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36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کاف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2، ص 669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37" w:name="_edn64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"_ednref64"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64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37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همان، ص 158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38" w:name="_edn65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"_ednref65"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65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38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کاف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2، ص 115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39" w:name="_edn66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"_ednref66"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66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39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کاف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4، ص 18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40" w:name="_edn67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"_ednref67"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67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40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کاف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 3، ص 488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41" w:name="_edn68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"_ednref68"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68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41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به عنوان نمونه، ر.ک: 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خ صدوق،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: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امال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209؛ كل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کاف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ج2، ص 78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42" w:name="_edn69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"_ednref69"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69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42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ر. ک: 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صفا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حائر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Cambria" w:eastAsia="Times New Roman" w:hAnsi="Cambria" w:cs="Cambria" w:hint="cs"/>
          <w:b/>
          <w:bCs/>
          <w:i/>
          <w:iCs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مسئول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ت و سازندگ</w:t>
      </w:r>
      <w:r w:rsidR="00B13F71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43" w:name="_edn70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"_ednref70"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70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43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عل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بن حس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ن طبرس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B44D7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B44D7B">
        <w:rPr>
          <w:rFonts w:ascii="Times New Roman" w:eastAsia="Times New Roman" w:hAnsi="Times New Roman" w:cs="B Mitra" w:hint="cs"/>
          <w:b/>
          <w:bCs/>
          <w:i/>
          <w:iCs/>
          <w:color w:val="000000"/>
          <w:sz w:val="24"/>
          <w:szCs w:val="24"/>
          <w:rtl/>
        </w:rPr>
        <w:t>مشکاة الانوار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ص 241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bookmarkStart w:id="144" w:name="_edn71"/>
    <w:p w:rsidR="00B44D7B" w:rsidRPr="00B44D7B" w:rsidRDefault="00B44D7B" w:rsidP="00B44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Mitra"/>
          <w:color w:val="000000"/>
          <w:sz w:val="24"/>
          <w:szCs w:val="24"/>
        </w:rPr>
      </w:pP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begin"/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instrText xml:space="preserve"> HYPERLINK "http://marefateakhlagi.nashriyat.ir/node/47" \l "_ednref71" \o "" </w:instrTex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separate"/>
      </w:r>
      <w:r w:rsidRPr="00B44D7B">
        <w:rPr>
          <w:rFonts w:ascii="Times New Roman" w:eastAsia="Times New Roman" w:hAnsi="Times New Roman" w:cs="B Mitra" w:hint="cs"/>
          <w:color w:val="000080"/>
          <w:sz w:val="24"/>
          <w:szCs w:val="24"/>
          <w:u w:val="single"/>
        </w:rPr>
        <w:t>71</w:t>
      </w:r>
      <w:r w:rsidRPr="00B44D7B">
        <w:rPr>
          <w:rFonts w:ascii="Times New Roman" w:eastAsia="Times New Roman" w:hAnsi="Times New Roman" w:cs="B Mitra"/>
          <w:color w:val="000000"/>
          <w:sz w:val="24"/>
          <w:szCs w:val="24"/>
        </w:rPr>
        <w:fldChar w:fldCharType="end"/>
      </w:r>
      <w:bookmarkEnd w:id="144"/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 xml:space="preserve">. 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ام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 غنو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 در پژوهش</w:t>
      </w:r>
      <w:r w:rsidR="00B13F71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ی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در دست انجام</w:t>
      </w:r>
      <w:r w:rsidRPr="00B44D7B">
        <w:rPr>
          <w:rFonts w:ascii="Times New Roman" w:eastAsia="Times New Roman" w:hAnsi="Times New Roman" w:cs="B Mitra" w:hint="cs"/>
          <w:color w:val="000000"/>
          <w:sz w:val="24"/>
          <w:szCs w:val="24"/>
        </w:rPr>
        <w:t>.</w:t>
      </w:r>
    </w:p>
    <w:p w:rsidR="006076AC" w:rsidRDefault="006076AC" w:rsidP="00B44D7B"/>
    <w:sectPr w:rsidR="006076AC" w:rsidSect="00B86F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C2"/>
    <w:rsid w:val="000C1526"/>
    <w:rsid w:val="006076AC"/>
    <w:rsid w:val="00930CC2"/>
    <w:rsid w:val="00B13F71"/>
    <w:rsid w:val="00B44D7B"/>
    <w:rsid w:val="00B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BA7C59-1E40-4904-975E-C79703C3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44D7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4D7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4D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4D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center">
    <w:name w:val="rtecenter"/>
    <w:basedOn w:val="Normal"/>
    <w:rsid w:val="00B44D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B44D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4D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D7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44D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noor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9647</Words>
  <Characters>54991</Characters>
  <Application>Microsoft Office Word</Application>
  <DocSecurity>0</DocSecurity>
  <Lines>458</Lines>
  <Paragraphs>129</Paragraphs>
  <ScaleCrop>false</ScaleCrop>
  <Company/>
  <LinksUpToDate>false</LinksUpToDate>
  <CharactersWithSpaces>64509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morabi-akhlagh</dc:creator>
  <cp:keywords/>
  <dc:description/>
  <cp:lastModifiedBy>morabi-akhlagh</cp:lastModifiedBy>
  <cp:revision>7</cp:revision>
  <dcterms:created xsi:type="dcterms:W3CDTF">2018-01-28T07:37:00Z</dcterms:created>
  <dcterms:modified xsi:type="dcterms:W3CDTF">2018-12-05T09:56:00Z</dcterms:modified>
</cp:coreProperties>
</file>