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5B0" w:rsidRPr="00C655B0" w:rsidRDefault="00C655B0" w:rsidP="00D861D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نقد و بررس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دلا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ل انکار «علوم انسان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دستور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ی»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سال سوم، شماره سوم، تابستان 1391، صفحه 107 ـ 124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Ma'rifat-i Ākhlaqī, Vol.3. No.3, </w:t>
      </w:r>
      <w:proofErr w:type="gramStart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</w:rPr>
        <w:t>Summer</w:t>
      </w:r>
      <w:proofErr w:type="gramEnd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 2012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عل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مصباح</w:t>
      </w:r>
      <w:bookmarkStart w:id="0" w:name="_ftnref1"/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"_ftn1"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b/>
          <w:bCs/>
          <w:color w:val="000080"/>
          <w:sz w:val="24"/>
          <w:szCs w:val="24"/>
          <w:rtl/>
        </w:rPr>
        <w:t>*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0"/>
      <w:r w:rsidRPr="00C655B0">
        <w:rPr>
          <w:rFonts w:ascii="Cambria" w:eastAsia="Times New Roman" w:hAnsi="Cambria" w:cs="Cambria" w:hint="cs"/>
          <w:b/>
          <w:bCs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/ حسن مح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ط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اردکان</w:t>
      </w:r>
      <w:bookmarkStart w:id="1" w:name="_ftnref2"/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"_ftn2"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b/>
          <w:bCs/>
          <w:color w:val="000080"/>
          <w:sz w:val="24"/>
          <w:szCs w:val="24"/>
          <w:rtl/>
        </w:rPr>
        <w:t>**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"/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چك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در 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ک تقس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م‌بند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م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‌توان علوم انسان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را به دو بخش توص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ف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و دستور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تقس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م كرد. علوم انسان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توص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ف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به علوم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گفته م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‌شود که به تب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 و توص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ف پد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ده‌ها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انسان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م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‌پردازند. در مقابل، علوم انسان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دستور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به آن بخش از علوم ان</w:t>
      </w:r>
      <w:bookmarkStart w:id="2" w:name="_GoBack"/>
      <w:bookmarkEnd w:id="2"/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سان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گفته م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‌شود که مجموعه‌ا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از گزاره‌ها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دستور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(با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 و نبا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دها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) متناسب با مبان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از پ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ش‌پذ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رفته‌شده را برا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تحقق اهداف مورد نظر ارائه م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‌دهند.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اثبات 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 انکار علوم انسان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دستور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همواره 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ک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از موارد اختلاف م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ان دانشمندان علوم انسان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بوده است، به گونه‌ا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که گروه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آن را جزء علم م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‌شمارند، اما گروه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د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گر، منکر علم بودن آن هستند. اتخاذ برخ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روش‌ها در علوم انسان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و ن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ز اعتقاد به عدم ارتباط منطق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م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ان واقع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 و ارزش، زم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نة انکار علوم انسان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دستور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را فراهم م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‌کند. بر هم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ن اساس، نقد دو عامل 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ادشده م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‌تواند زم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نه را برا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اعتقاد به علوم انسان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دستور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هموار كند.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در ا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 پژوهش، پس از تب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 چ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ست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و و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ژگ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‌ها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علوم انسان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دستور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، دلا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ل منکران علوم انسان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دستور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، نقد و بررس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است.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كل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دواژه‌ها: علوم انسان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، علوم انسان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دستور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، تار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خ‌گرا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، با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د، هست.</w:t>
      </w:r>
    </w:p>
    <w:p w:rsidR="00C655B0" w:rsidRPr="00C655B0" w:rsidRDefault="00D861D1" w:rsidP="00C655B0">
      <w:pPr>
        <w:shd w:val="clear" w:color="auto" w:fill="FFFFFF"/>
        <w:spacing w:after="0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B Mitra"/>
          <w:color w:val="000000"/>
          <w:sz w:val="24"/>
          <w:szCs w:val="24"/>
        </w:rPr>
        <w:pict>
          <v:rect id="_x0000_i1025" style="width:0;height:.75pt" o:hralign="right" o:hrstd="t" o:hr="t" fillcolor="#a0a0a0" stroked="f"/>
        </w:pict>
      </w:r>
    </w:p>
    <w:bookmarkStart w:id="3" w:name="_ftn1"/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"_ftnref1"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rtl/>
        </w:rPr>
        <w:t>*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3"/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دانش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 گروه فلسفه موسسه آموزش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پژوهش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امام خم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(ره)</w:t>
      </w:r>
    </w:p>
    <w:bookmarkStart w:id="4" w:name="_ftn2"/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"_ftnref2"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rtl/>
        </w:rPr>
        <w:t>**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4"/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کارشناس ارشد فلسفه اسلام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موسَسه آموزش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پژوهش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امام خم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(ره)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                                </w:t>
      </w:r>
      <w:hyperlink r:id="rId4" w:history="1">
        <w:r w:rsidRPr="00C655B0">
          <w:rPr>
            <w:rFonts w:ascii="Times New Roman" w:eastAsia="Times New Roman" w:hAnsi="Times New Roman" w:cs="B Mitra" w:hint="cs"/>
            <w:color w:val="000080"/>
            <w:sz w:val="24"/>
            <w:szCs w:val="24"/>
          </w:rPr>
          <w:t>nagi1364@yahoo.com</w:t>
        </w:r>
      </w:hyperlink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افت: 17/12/1390 ـ پذ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رش: 3/4/1391</w:t>
      </w:r>
    </w:p>
    <w:p w:rsidR="00C655B0" w:rsidRPr="00C655B0" w:rsidRDefault="00D861D1" w:rsidP="00C655B0">
      <w:pPr>
        <w:shd w:val="clear" w:color="auto" w:fill="FFFFFF"/>
        <w:spacing w:after="0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B Mitra"/>
          <w:color w:val="000000"/>
          <w:sz w:val="24"/>
          <w:szCs w:val="24"/>
        </w:rPr>
        <w:pict>
          <v:rect id="_x0000_i1026" style="width:0;height:.75pt" o:hralign="right" o:hrstd="t" o:hr="t" fillcolor="#a0a0a0" stroked="f"/>
        </w:pic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علوم انسان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فرهنگ غرب که خاستگاه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مصطلح و 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 امروز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است، واژگان متعدّد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اشاره به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کار گرفته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 که از جمله آنها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به علوم اخلاق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bookmarkStart w:id="5" w:name="_ednref1"/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"_edn1"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1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5"/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علوم فرهنگ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علوم روح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علوم مربوط به انسان، علوم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هنجار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علوم توص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افکار و علوم اجتماع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اشاره كرد،</w:t>
      </w:r>
      <w:bookmarkStart w:id="6" w:name="_ednref2"/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"_edn2"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2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6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گرچه از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واژگان، معادل‌ها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علوم مربوط به انسان و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(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</w:rPr>
        <w:t>Humanities, Human Sciences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) کاربرد 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شتر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دارند، ‌ضمن آنکه واژة علوم اجتماع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فرهنگ امر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شتر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کاربرد را دارد. بنابرا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در جست‌وجو از معنا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به واژة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محدود شد و از معادل‌ها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 غفلت ورز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با تأک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بر سه عنوان موضوع، روش و هدف تعر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كرد: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</w:rPr>
      </w:pP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تعر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ف براساس موضوع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تعر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ژول</w:t>
      </w:r>
      <w:r w:rsidR="00D861D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ن فروند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 قسم تعر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براساس موضوع است. به اعتقاد او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مجموعه معارف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گفته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 که موضوع تحق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آنها، فعال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مختلف بشر است؛ فعال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که دربرگ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رندة روابط افراد بشر با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و روابط آنها با اش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و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آثار و نهاد‌ها و مناسبات ناش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آنهاست.</w:t>
      </w:r>
      <w:bookmarkStart w:id="7" w:name="_ednref3"/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"_edn3"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3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7"/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طبق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تعر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ف، سه دسته از علوم را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دانست:</w:t>
      </w:r>
      <w:bookmarkStart w:id="8" w:name="_ednref4"/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"_edn4"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4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8"/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الف ـ علوم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چون جامعه‌شناس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انسان‌شناس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قوم‌شناس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زبان‌شناس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انواع مختلف 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خ، اعم از 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 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 هنر و علوم ترب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علوم 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که هر کدام به نوع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درباره رابطه افراد با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بحث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‌كنند.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</w:t>
      </w:r>
      <w:r w:rsidRPr="00C655B0">
        <w:rPr>
          <w:rFonts w:ascii="Cambria" w:eastAsia="Times New Roman" w:hAnsi="Cambria" w:cs="Cambria" w:hint="cs"/>
          <w:b/>
          <w:bCs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ـ علوم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نظ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علم اقتصاد و حت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برخ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مسائل مطرح در اخلاق که به رابطه فرد با اش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ا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ح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وانات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‌پردازند.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 ـ مطالعات مربوط به نهادها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چون نهاد قضا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که به منظور حلّ و فصل مشکلات حقوق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مردم شکل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رد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نهادها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اقتصاد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چون بانک‌ها و مؤسسات مال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که 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تنظ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روابط اقتصاد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مردم به وجود آمده‌اند، و سا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نهادها.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فل</w:t>
      </w:r>
      <w:r w:rsidR="00D861D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س</w:t>
      </w:r>
      <w:r w:rsidR="00D861D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ن شاله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بر اساس موضوع تعر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‌کند و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د: معمولاً علوم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که در آنها انسان را از لحاظ ح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درون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روابطش با 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گران بررس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‌کنند به نام علوم اخلاق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(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)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‌خوانند.</w:t>
      </w:r>
      <w:bookmarkStart w:id="9" w:name="_ednref5"/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"_edn5"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5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9"/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طبق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تعر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ف، علوم روان‌شناس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منطق، اخلاق، شناخت ز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علم به مابعدالطب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عه (متاف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ک)، جامعه‌شناس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 جزء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هستند.</w:t>
      </w:r>
      <w:bookmarkStart w:id="10" w:name="_ednref6"/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"_edn6"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6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0"/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</w:rPr>
      </w:pP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تعر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ف بر اساس روش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جان استوارت م</w:t>
      </w:r>
      <w:r w:rsidR="00D861D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ل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روش تحق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را محور تعر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خود از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قرار داده است. به اعتقاد 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اساس وحدت علم، وحدت روش‌شناخت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تعقل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استدلال علم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و تمام استدلال‌ها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علم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استقرا ‌برم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‌گردند. بنابرا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استقرا نخست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استدلال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آزما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و استنتاج از آن ناش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‌شود. علوم اخلاق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(انسان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) از نوع دوم،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علوم استنتاج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هستند، ول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استنتاج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انضمام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نه انتزاع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انضمام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بودن استنتاج بد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معناست كه به وس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لة آن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هر معلول را از قوان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علّ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معلول به آن بستگ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دارد، ‌استنباط كرد. بنابرا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علم 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است، جامعه‌شناس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اقتصاد جزء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بوده و علوم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چون روان‌شناس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خارج از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</w:t>
      </w:r>
      <w:bookmarkStart w:id="11" w:name="_ednref7"/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"_edn7"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7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1"/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</w:rPr>
      </w:pP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تعر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ف بر اساس هدف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افراد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چون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و</w:t>
      </w:r>
      <w:r w:rsidR="00D861D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لهلم د</w:t>
      </w:r>
      <w:r w:rsidR="00D861D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لتا</w:t>
      </w:r>
      <w:r w:rsidR="00D861D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بر مبنا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هدف تعر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‌کند و آنها را علوم 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‌نامد، ز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 به نظر 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هدفِ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حوادث و پد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در زمان گذشته اتفاق افتاده‌اند. به زعم 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جامعه‌شناس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علم 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است و اقتصاد و علوم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نظ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اخلاق، شناخت‌ ز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شعر، جزء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هستند.</w:t>
      </w:r>
      <w:bookmarkStart w:id="12" w:name="_ednref8"/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"_edn8"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8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2"/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</w:rPr>
      </w:pP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تعر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ف بر اساس موضوع و روش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برخ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دو جنبه را مد نظر قرار داده و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بر اساس موضوع و روش،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ن‌گونه تعر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كرده‌اند: «علوم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علوم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هستند که رفتارها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جمع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فرد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اراد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غ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راراد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آگاهانه و ناآگاهانه انسان را به قالب نظم‌ها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تجربه‌پذ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زند.»</w:t>
      </w:r>
      <w:bookmarkStart w:id="13" w:name="_ednref9"/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"_edn9"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9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3"/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در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تعر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بر موضوع و روش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تأک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شده است. بر اساس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تعر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ف، موضوع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رفتارها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مختلف انسان، و روش آن روش تجرب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با توجه به آنچه گفته شد به سخت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وجه جامع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تعر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مختلف پ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دا کرد و آن را محور بحث قرار داد، ز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معان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مختلف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کار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‌روند. 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مثال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معنا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عام، بحث‌ها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هست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‌شناس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معرفت‌شناس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انسان‌شناس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دربرم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رند. گاه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علوم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گفته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 که دربارة ابعاد مختلف وجود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انسان، همچون بعد فرد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اجتماع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او که در روان‌شناس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علوم اجتماع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درباره آنها بحث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‌شود، بحث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‌كنند. و نها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تاً در برخ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مواقع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دسته‌ا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علوم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مانند حقوق و اقتصاد و علوم کاربرد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محض، از قب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کتابدار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حسابدار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و... اطلاق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‌شود.</w:t>
      </w:r>
      <w:bookmarkStart w:id="14" w:name="_ednref10"/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"_edn10"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10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4"/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</w:rPr>
      </w:pP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علوم انسان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و علوم اجتماع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حال که مراد از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تا حدود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مشخص شد ممکن است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سؤال 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خواننده مطرح شود که آ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همان علوم اجتماع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با آن تفاوت دارد و اگر تفاوت دارد، ملاک تما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ز آنها از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ست؟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پاسخ به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سؤال‌ها اشاره به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نكته لازم است که برخ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معتقدند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علوم اجتماع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به‌رغم مترادف نبودن، تا حدود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هم آم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خته‌اند و هر کدام از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نها با توجه به خاستگاهشان از 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جدا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‌شود. 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مثال، در جامعة دانشگاه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فرانسه گاه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واژة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رشته‌ها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روان‌شناس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انسان‌شناس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گاه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زبان‌شناس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خ، و علوم اجتماع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علوم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چون اقتصاد، علوم 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جغراف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و جامعه‌شناس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اطلاق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 که مجموعه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شاخه‌ها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علم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ز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مجموعه عنوان علوم انسان و جامعه قرار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رند. در امر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کا از واژه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ندرت استفاده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‌شود. پ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از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ن علوم 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</w:rPr>
        <w:t>Social and Behavioral Sciences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نام داشت که آن هم به تدر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 جا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خود را به 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</w:rPr>
        <w:t>Social Sciences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داد، به طور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که امروزه مقصود از علوم اجتماع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جوامع امر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همان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ژان پ</w:t>
      </w:r>
      <w:r w:rsidR="00D861D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اژه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شناخت‌شناس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وجود تفاوت اساس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علوم اجتماع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رد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‌کند و معتقد است که نم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ه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چ‌گونه تما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ماهو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آنچه اغلب، «علوم اجتماع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 نام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 و آنچه «علوم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 خوانده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 قائل شد، ز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 بد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که پد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اجتماع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همه خصوص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حت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روان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- ف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ولوژ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 وابسته‌اند و در مقابل،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هم از جهت مع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اجتماع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‌اند.</w:t>
      </w:r>
      <w:bookmarkStart w:id="15" w:name="_ednref11"/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"_edn11"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11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5"/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البته همان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cs/>
        </w:rPr>
        <w:t>‎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طور که برخ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دانشمندان حوزة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گفته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cs/>
        </w:rPr>
        <w:t>‎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اند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cs/>
        </w:rPr>
        <w:t>‎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توان با تدق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در معنا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 از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علوم اجتماع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آنها تما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نهاد و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ن‌گونه تحل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ل کرد که طبق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 معنا از علوم اجتماع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که مطالعه تمام شئون انسان را دربرم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cs/>
        </w:rPr>
        <w:t>‎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رد،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علوم با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مترادف‌اند، اما اگر مراد از علوم اجتماع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علوم ناظر به امور اجتماع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منحصر در توص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(نه توص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و دستور) امور اجتماع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باشد، و مراد از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علوم ناظر به امور فرد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باشد،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دو با هم متفاوت‌اند.</w:t>
      </w:r>
      <w:bookmarkStart w:id="16" w:name="_ednref12"/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"_edn12"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12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6"/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مورد تفاوت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علوم اجتماع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cs/>
        </w:rPr>
        <w:t>‎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توان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ن‌طور نت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جه گرفت که بع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نظر دوم که با تشر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 کاربرد مختلف اصطلاح علوم اجتماع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تفاوت آنها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cs/>
        </w:rPr>
        <w:t>‎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پردازد، دق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cs/>
        </w:rPr>
        <w:t>‎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تر و عم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cs/>
        </w:rPr>
        <w:t>‎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تر از 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دگاه اول باشد.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</w:rPr>
      </w:pP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تقس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م علوم انسان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به توص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ف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و دستور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با تدق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در گزاره‌ها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موجود در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در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افت که دو دسته از گزاره‌ها در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علوم وجود دارند؛ برخ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گزاره‌ها صرفاً‌ حاک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«هست‌ها» بوده و از واقع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موجود خبر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‌دهند، اما دسته 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گر، از «با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دها» حكا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‌كنند. بر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اساس،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به دو دستة «توص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 و «دستور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 تقس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كرد.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توص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دسته اول و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دسته دوم اطلاق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‌شود. امروزه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 نام‌ها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متعدد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شناخته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 که 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نمونه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به علوم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علوم هنجار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علوم ارزش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اشاره کرد. 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اشاره به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علوم از تعب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«نظام» و «س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ستم»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استفاده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‌شود، مانند نظام اخلاق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،‌ نظام حقوق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نظام اقتصاد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توض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 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شتر جمله‌ها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ز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را در نظر بگ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د: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1. افزا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دستمزد باعث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 که مردم 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شتر کار کنند.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2. دولت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مال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بر 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گار را افزا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دهد تا مردم کمتر 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گار بکشند.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3. برتر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فض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لت، معرفت است.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4.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مجرم را مجازات کرد.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5. امانت را به صاحبش برگردان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با اندک تأمل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جمله‌ها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بالا فوق تصد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خواه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كرد که جمله‌ها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1 و 3 با جمله‌ها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2 و 4 و 5 تفاوت دارند. به راست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جمله‌ها چه تفاوت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دارند؟ بله، جمله‌ها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1 و 3 تنها از واقع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موجود حکا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‌کنند و به ما خبر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‌دهند. به عبارت 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گر، آنها از «هست»‌ها حکا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‌کنند، اما جمله‌ها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2، 4 و 5 از «با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د» حکا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كرده و لزوم انجام کار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به ما اطلاع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‌دهند. در برخ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علوم از گزاره‌ها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گزاره‌ها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1 و 3 بحث و گفت‌وگو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‌شود، اما در برخ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گر، گزاره‌ها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نظ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گزاره‌ها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2، 4 و 5 موضوع قرار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رد. به علوم نوع اول، علوم توص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و به علوم نوع دوم، علوم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ند. علوم طب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مانند ز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ست‌شناس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ش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ف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ک از نوع اول،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توص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‌اند، اما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که رفتار انسان را بررس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‌كنند با توجه به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نکه صرفاً به توص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پد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‌پردازند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توص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ارائه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‌کنند، به دو دسته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توص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تقس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‌شوند.</w:t>
      </w:r>
      <w:bookmarkStart w:id="17" w:name="_ednref13"/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"_edn13"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13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7"/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</w:rPr>
      </w:pP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چ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ست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علوم انسان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دستور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همان‌‌طور که گفته شد، علوم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 هنجارها، دستورها و توص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ه‌ها سروکار داشته و سع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‌کنند با ارائه الگو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رفتار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مناسب، انسان را به سمت هدف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پ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ش‌تع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ن‌شده، هدا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کنند. بر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اساس، در تعر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علوم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گفته شده است: «علوم هنجار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علوم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عبارت‌اند از: هر رشته علم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که در پ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افتن و تع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الگوها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رفتار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منش بهنجار و درست است.»</w:t>
      </w:r>
      <w:bookmarkStart w:id="18" w:name="_ednref14"/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"_edn14"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14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8"/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طبق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تعر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ف، علم اخلاق، حقوق و حت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علم 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است به سبب آنكه به تجو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نظم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‌پردازند، علوم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هستند.</w:t>
      </w:r>
      <w:bookmarkStart w:id="19" w:name="_ednref15"/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"_edn15"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15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9"/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بنابرا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هنجار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صفات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هستند 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نشان دادن هر آنچه در واقع، قواعد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رفتار تجو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‌کند و از هم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ن‌رو برخ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رشته‌ها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علم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از به سبب آنكه به مشاهده صرف اکتفا نکرده، بلکه دربرگ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رندة قضاوت‌ها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ارزش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‌باشند، علوم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برخ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گر، علوم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ن‌گونه تعر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كرده‌اند: «علوم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علوم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که مرکّب از احکام انشا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احکام ارزش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تابع نقاد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است، مثل منطق، اخلاق، ز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‌شناس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و....»</w:t>
      </w:r>
      <w:bookmarkStart w:id="20" w:name="_ednref16"/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"_edn16"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16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20"/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علوم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اصطلاح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وونت</w:t>
      </w:r>
      <w:bookmarkStart w:id="21" w:name="_ednref17"/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"_edn17"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17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21"/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علوم مع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نام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 که همان علوم انشا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به عق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دة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وونت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علوم مع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علوم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که کار آن تع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قواعد و نمونه‌ها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ضرور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تحد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ارزش‌هاست. 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مثال، در منطق، قانون استنتاج صح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ح، در اخلاق، نمونه آرمان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 اندازه‌گ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علوم در برابر علوم تفس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خبر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قرار دارند؛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علوم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که بر مشاهده و شناخت اش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اء مبتن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است، چنان‌که در طب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عت موجودند.</w:t>
      </w:r>
      <w:bookmarkStart w:id="22" w:name="_ednref18"/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"_edn18"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18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22"/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مجموع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گفت به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که از «هست»‌ها حکا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‌کنند، «علوم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توص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 گفته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 و به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مشتمل بر گزاره‌ها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«با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د» و «نبا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د»، «علوم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،‌ تجو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هنجار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ارزش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 اطلاق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‌گردد. گاه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به سبب آنكه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 ارائه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نبا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به تجو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نظم خاص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‌پردازند به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علوم، نظام، 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ستم و مکتب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گفته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</w:rPr>
      </w:pP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lastRenderedPageBreak/>
        <w:t>و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ژگ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‌ها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علوم انسان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دستور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علاوه بر 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ژگ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که 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علم بودن و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بودن لازم دارند، به لحاظ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بودن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شرا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ز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را داشته باشند: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الف‌ـ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دربرگ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رنده گزاره‌ها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مشتمل بر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نبا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د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کلمات دالّ بر ارزش است. به تعب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گر، در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نوع از علوم، مفاه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ارزش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نظ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خوب، بد، درست و نادرست و مفاه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لزوم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مانند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د، نبا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وظ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فه، مفاه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پا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ه‌ا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تشک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‌دهند. به هم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علت به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علوم، «علوم ارزش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گفته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ب‌ـ گزاره‌ها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مربوط به افعال اخت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هستند، ز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 امر و نه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جا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منطق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که مأمور به انجام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ترک کار، مختار باشد.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ج‌ـ به لحاظ منطق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شکل‌گ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گزاره‌ها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واقع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بر پذ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رش رابطة عل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در 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پد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ده‌ها مبتن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است، ز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 شخص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که رابطه عل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را نپذ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 نم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‌تواند به منظور منجر شدن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 کار به نت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جه مناسب، به آن کار امر كرده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با هدف منته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شدن فعل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نت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جه نامناسب از آن نه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كند، ز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 نت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جه عدم قبول عل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خواهد بود که انجام فعل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خاص لزوماً به نت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جه دلخواه منجر نخواهد شد.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</w:rPr>
      </w:pP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مخالفت با دستور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بودن علوم انسان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همان‌طور که اشاره شد، ادعا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بودن ماه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برخ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علوم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دست‌کم آم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خته با گزاره‌ها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بودن برخ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علوم، مخالفان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دارد که معتقدند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‌تواند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باشد.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به لحاظ قبول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عدم قبول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دانشمندان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به دو دسته تقس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كرد: گروه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وجود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ممکن و بلکه واقع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‌دانند و گروه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گر، امکانِ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بودن علوم را نف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كرده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دست‌کم لازمة منطق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مبان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فکر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آنها، ردّ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بخش، ابتدا مبان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فکر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منکران امکان وجود علوم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مرور كرده تا در بخش بعد آگاهانه به نقد و ارز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سخنان آنها پرداخته شود.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</w:rPr>
      </w:pP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علل انکار علوم انسان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دستور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با بررس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مکاتب و نحله‌ها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مختلف در فلسفة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تدق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در گفته‌ها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صاحب‌نظران در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علوم،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نت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جه گرفت که منشأ و خاستگاه انکار علوم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،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ناش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انتخاب روش نامناسب 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مطالعه و تحق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در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و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ناش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اعتقاد به شکاف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دها و هست‌ها.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</w:rPr>
      </w:pP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اتخاذ روش نامناسب در علوم انسان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برخ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موارد، ش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وه و روش برگز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ده‌شده 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مطالعة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مانع پذ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رش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‌شود، به گونه‌ا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که لازمة منطق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بند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آن روش، انکار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تفص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شتر، نخست به بررس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مکاتب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پرداخته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 که اتخاذ روش در آنها، انحصار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توص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دربرداشته است.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</w:rPr>
      </w:pP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lastRenderedPageBreak/>
        <w:t>تار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خ‌گرا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یی</w:t>
      </w:r>
      <w:bookmarkStart w:id="23" w:name="_ednref19"/>
      <w:r w:rsidRPr="00C655B0"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</w:rPr>
        <w:fldChar w:fldCharType="begin"/>
      </w:r>
      <w:r w:rsidRPr="00C655B0"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</w:rPr>
        <w:instrText xml:space="preserve"> </w:instrText>
      </w:r>
      <w:r w:rsidRPr="00C655B0"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  <w:instrText>HYPERLINK "http://marefateakhlagi.nashriyat.ir/node/119" \l "_edn19" \o</w:instrText>
      </w:r>
      <w:r w:rsidRPr="00C655B0"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</w:rPr>
        <w:instrText xml:space="preserve"> "" </w:instrText>
      </w:r>
      <w:r w:rsidRPr="00C655B0"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</w:rPr>
        <w:fldChar w:fldCharType="separate"/>
      </w:r>
      <w:r w:rsidRPr="00C655B0">
        <w:rPr>
          <w:rFonts w:ascii="Times New Roman" w:eastAsia="Times New Roman" w:hAnsi="Times New Roman" w:cs="B Titr" w:hint="cs"/>
          <w:b/>
          <w:bCs/>
          <w:color w:val="000080"/>
          <w:sz w:val="28"/>
          <w:szCs w:val="28"/>
          <w:vertAlign w:val="superscript"/>
          <w:rtl/>
        </w:rPr>
        <w:t>19</w:t>
      </w:r>
      <w:r w:rsidRPr="00C655B0"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</w:rPr>
        <w:fldChar w:fldCharType="end"/>
      </w:r>
      <w:bookmarkEnd w:id="23"/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خ‌گرا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رو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کرد 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پد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اجتماع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است؛ رو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کرد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که 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 را عنصر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فعال و پو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دانسته و فهم پد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اجتماع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بدون توجه به بُعد 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 غ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رممکن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‌داند. از نگاه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برا</w:t>
      </w:r>
      <w:r w:rsidR="00D861D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ان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خ‌گرا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دگاه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که بر اساس آن هو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پد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ده‌ها و وقا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 اجتماع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 آنها نهفته است، به گونه‌ا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که شناخت آنها تنها با درک 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 تحول آنها حاصل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‌شود.</w:t>
      </w:r>
      <w:bookmarkStart w:id="24" w:name="_ednref20"/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"_edn20"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20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24"/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معتقدان به رو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کرد 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نحله‌ا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شکل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‌دهند و خود به شاخه‌ها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مختلف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تقس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‌‌شوند.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ژول</w:t>
      </w:r>
      <w:r w:rsidR="00D861D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ن فروند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نظر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مربوط به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چهار شاخه آن نام برده و مبان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فکر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آنها را بررس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‌کند.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شاخه‌ها عبارت‌اند از: حقوق 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اقتصاد 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کار تأل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هگل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 ماتر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سم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مارکس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</w:t>
      </w:r>
      <w:bookmarkStart w:id="25" w:name="_ednref21"/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"_edn21"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21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25"/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نحله‌ها،‌ نحله حقوق‌دانان 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اول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بار به مطالعة حقوق با رو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کرد 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پرداخت. طبق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کرد، مسائل حقوق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 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شه داشته و بدون توجه به 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 تحولات حقوق نم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از علم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نام علم حقوق سخن گفت. از 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خ‌گرا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‌هدف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،‌ حفظ و حراست از نسب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پد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مورد مطالعه است. معنا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سخن آن است که ما نم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همه ملت‌ها از حقوق ثابت و مساو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سخن گفت، بلکه از آنجا که حقوق هر ملت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وند ناگسستن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 فرهنگ و 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 آن ملت دارد و فرهنگ و 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 ملت‌ها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ز با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متفاوت است، بنابرا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حقوق آنها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با هم متفاوت خواهد بود، از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ن‌رو ممکن است حقوق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 جامعه با جامعه 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متفاوت باشد.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لازم به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ادآور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که گرچه ابتدا 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خ‌گرا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حقوق آغاز شد، اما به تدر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 به سا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رشته‌ها، از جمله شعر، ‌آداب و رسوم و زبان کش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شد.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برا</w:t>
      </w:r>
      <w:r w:rsidR="00D861D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ان ف</w:t>
      </w:r>
      <w:r w:rsidR="00D861D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خ‌گرا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رق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 آشت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‌ناپذ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تعم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م‌گرا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قانون‌مدار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‌داند؛ گو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که جر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توجه به 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خ، عکس‌العمل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برابر تعم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م‌گرا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بوده است.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طبق 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دگاه تعم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م‌گرا، ‌حوادث و پد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ده‌ها با هم در ارتباط بوده، چون همه از قانون خاص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‌کنند که در مورد مصاد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خود حکم واحد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صادر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‌کند، از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ن‌رو، به سبب تبع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رفتارها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از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 قانون عام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گفت که مردم شب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ه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بوده و اختلاف اساس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ندارند.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ژگ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تعم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م‌گرا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 است که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الگو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پ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ش‌ب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امور آ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نده را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‌پذ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رد تا آنجا که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 تب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فقط هنگام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قابل قبول است که بتواند مبنا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 پ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ش‌ب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قرار 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رد.</w:t>
      </w:r>
      <w:bookmarkStart w:id="26" w:name="_ednref22"/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"_edn22"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22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26"/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توجه به نکتة فوق (رابطة 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تعم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م‌گرا و پ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ش‌ب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) نشان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‌دهد که ماه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 سرشت تب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تعم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م‌گرا و قانون‌مدار، غ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است؛ بد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معنا که اگر واقعه خاص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برهه‌ا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زمان اتفاق 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فتد به شرط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ن‌پذ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است که تحت قانون عام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قرار گرفته و ه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چ‌گونه وابستگ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آن زمان خاص نداشته باشد. به عبارت 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گر، هنگام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تب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آن واقعه ارائه داد که به عنوان بخش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 نظم غ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رزمانمند مطالعه شود.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برخلاف 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دگاه تعم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م‌گرا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خ‌گرا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وجود هرگونه قانون عام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که بتوان حوادث و رو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دادها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اجتماع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در پرتو آن تب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كرد، انکار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‌کند. در نگرش 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خ‌گرا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،‌ هو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کنش‌ها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اجتماع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به 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 آن وابسته است. آنچه در مطالعه پد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اجتماع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لحاظ شود توجه به 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 و 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 پد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است. از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منظر،‌ 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شناخت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ک ملت، ‌شخص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ا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 نهاد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همه 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 مطالعه شود. در نظر 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خ‌گرا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رابطه علّ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ـ معلول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پد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برقرار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ست، بلکه روابط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تنها به طور اتفاق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هم مرتبط شده و سلسله‌ا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پشت سرهم را شکل داده‌اند. به هم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علت در مطالعه آنها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به 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تکو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آنها توجه كرد که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شامل بررس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توال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زمان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آنها و تبد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و تحول رو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داد سابق به رو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داد لاحق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‌شود. 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مثال، اگر «الف» پد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ده‌ا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باشد که به «ب» ختم شود و «ب»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به «ج» منته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شود نم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نت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جه گرفت که همواره «الف» به «ب» منجر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‌شود، ز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روند، روند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قانون‌مدار و مبتن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 نظام علّ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و اصولاً‌ پد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اجتماع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نسبت علّ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معلول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ندارند. بله، تنها 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که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گفت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است که با حصول برخ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و مقتض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زمان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مکان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«الف» به «ب» ختم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خ‌گرا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ان معتقدند مردم با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اختلاف اساس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داشته و در اند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شة خود تا حدود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ژگ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اراد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بودن فعال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متاثّرند. توض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 آنکه ـ همان‌طور که گفته شد ـ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دربارة روابط و افعال انسان بحث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‌کنند. انسان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موجود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صاحب اراده است و بر 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اساس هم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اراده و اخت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که دارد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‌تواند در شرا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مختلف،‌ گز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متفاوت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انجام دادن انتخاب کند. بنابرا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فعال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به سبب اراد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بودن، در معرض تغ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رات مداوم هستند، از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ن‌رو افعال انسان را نم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تابع قانون خاص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دانست تا بتوان از مشاهده نمونه‌ها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رفتار گذشته او، رفتارها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نده 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پ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ش‌ب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كرد، ز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 ممکن است در آ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نده بنابر شرا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زمان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،‌ مکان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غ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ره تصم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اتخاذ کند. پس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جه‌گ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مورد 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خ‌گرا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درست است که 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خ‌گرا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گذشته‌نگر است.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 اساس آنچه گذشت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عدم اعتقاد به قانون عام، منحصر به فرد بودن پد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اجتماع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زمانمند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آنها و انکار امکان پ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ش‌ب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از 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ژگ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خ‌گرا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شمار آورد.</w:t>
      </w:r>
      <w:bookmarkStart w:id="27" w:name="_ednref23"/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"_edn23"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23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27"/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</w:rPr>
      </w:pP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نکته‌ها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یی</w:t>
      </w: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انتقاد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در باب تار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خ‌گرا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یی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1. 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‌ترد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د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لوازم و پ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امدها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خ‌گرا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نسب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ت‌گرا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نسب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ت‌گرا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از دو جا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نت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جه گرفت: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خمند بودن پد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و 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هدف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توجه به زمان و مکان و سا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شرا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خاص هر پد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مانع از تعم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آن خواهد شد و بد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ترت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ب، نم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قانون عام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ارائه داد و پد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اجتماع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بر اساس آن سنج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د. بر هم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اساس،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هر جامعه‌ا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به خصوص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نظ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اخلاق و حقوق، ممکن است با جامعه 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متفاوت باشد. به عبارت 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گر،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نسب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هستند. هدف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خ‌گرا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هم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امر را تأ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‌کند، ز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 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خ‌گرا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هدف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حفظ و حراست از نسب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پد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اجتماع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‌داند، در حال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که از نظر ما نسب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ت‌گرا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غ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رقابل قبول است، ز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 اولاً: نظر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نسب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عامِ معرفت، مشمول نقد خودشمول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به عبارت 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گر، خودمتناقض است. ثان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اً: در معرفت‌شناس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مبان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معرفت و راه تحص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آن معرف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شده است</w:t>
      </w:r>
      <w:bookmarkStart w:id="28" w:name="_ednref24"/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"_edn24"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24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28"/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 ثالثاً: لوازم غ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رقابل قبول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چون عدم تفاوت عمل فرد جنا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تکار با صلح‌طلب، قابل توج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شدن اعمال جنا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تکاران و... را در پ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دارد.</w:t>
      </w:r>
      <w:bookmarkStart w:id="29" w:name="_ednref25"/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"_edn25"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25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29"/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2. لازمة 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خ‌گرا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قائل شدن به کثرت‌گرا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است، ز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 ممکن است به تعداد جوامع موجود،‌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متفاوت وجود داشته باشد، در حال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که ما قائل به قوان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 اصول ثابت و مشترک 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همه جوامع بشر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هست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و اختلاف‌ها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موجود را ناش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اختلاف‌نظر در کاربرد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اصول کل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م.</w:t>
      </w:r>
      <w:bookmarkStart w:id="30" w:name="_ednref26"/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"_edn26"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26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30"/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مثال، همة انسان‌ها در خوب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رفتارها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که موجب کمال انسان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 اتفاق‌نظر دارند، اما افراد و جوامع مختلف در تع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مصداق آن رفتارها با هم اختلاف دارند.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3ـ طبق 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خ‌گرا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هر پد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زمان و مکان خود قابل تب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است و قابل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تعم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به سا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پد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ندارد.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امر از عدم اعتقاد به ارتباط علّ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ـ معلول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پد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نشئت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 که مطرود است.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4ـ همان‌طور که گفته شد، برخ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خ‌گرا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توج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اند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شه خود به ‌اراد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بودن افعال انسان تمسک کرده‌ و آن را مانع تعم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قوان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در حوزة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دانسته‌اند، اما در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مورد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گفت که اراد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بودن رفتار انسان به معنا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‌ضابطه بودن آنها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تا مانع تعم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قوان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شود. علاوه بر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اراده انسان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مانند عوامل 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گر، جزء العله تلق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‌شود. پس با شناخت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عوامل و شناخت پ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امدها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قوان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عام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رفتارها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کشف کرد. افزون بر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رفتارها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اراد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و پ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امدها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رابطه برقرار است و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رابطه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‌تواند به کشف قوان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عام کمک کند.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همان‌طور که در بالا گذشت، آنچه در 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خ‌گرا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اهم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دارد تب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 توص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ف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 پد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با توجه به 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تکو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 توسعه آن است. تمام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توص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فات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مربوط به گذشته است. بنابرا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نگاه 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 توجه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آ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نده و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نکه چه کار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صورت 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 ندارد و در واقع، نم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‌تواند داشته باشد، چراکه ارائه هرگونه پ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ش‌ب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صح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ح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ارائه توص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در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فرع بر پذ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رش رابطة علّ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پد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</w:t>
      </w:r>
      <w:bookmarkStart w:id="31" w:name="_ednref27"/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"_edn27"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27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31"/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گذشته از مکاتب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نظ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خ‌گرا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که از اساس توجه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ندارند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به طور دق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ق‌تر به لحاظ منطق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‌توانند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بپذ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رند، گروه 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با تشک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 در رابطه 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هست، از پذ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رش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سر باز زده‌اند.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شان معتقدند 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واقع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و ارزش‌ها ارتباط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و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د مرز آنها را از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جدا كرد.</w:t>
      </w:r>
      <w:bookmarkStart w:id="32" w:name="_ednref28"/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"_edn28"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28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32"/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هم تابع ارزش‌ها و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مان‌ها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وجود آورندگان آن است، اما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تابع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ت، منطقاً مستلزم آن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که ارزش‌ها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خالقان در بافت علم هم نفوذ کند. و اگر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آغشتگ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‌ها و به درون خز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دن‌ها رخ داده باشد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هوشمندانه آنها را بازشناخت و ساحت دانش را از ارزش، پاک نگاه داشت.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از اصل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وظا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عالمان است که مرز دانش را شناخته و مستمراً با جاروب 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زهوش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منطق، سرزم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توص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را از غبار تکل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بروبند.</w:t>
      </w:r>
      <w:bookmarkStart w:id="33" w:name="_ednref29"/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"_edn29"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29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33"/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نت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جه، آنچه ما مثلاً علم اخلاق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در نظر آنها اساساً علم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ست. اگر 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شه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بحث در آثار موافقان و مخالفان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ادعا پ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شود به مبحث پرجنجال رابطه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دها و نبا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دها با هست‌ها و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ست‌ها منته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‌گردد که از آن با تعاب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رابطه واقع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 ارزش، نظر و عمل و رابطه دانش و ارزش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ز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اد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</w:rPr>
      </w:pP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انکار رابطة منطق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با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د و هست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نظر برخ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آنچه مانع پذ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رفتن امکان علوم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نه صرف روش، بلکه جدا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شکاف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دستورها (با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نبا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دها) و امور واقع است. به عق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ن افراد، چون از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ک‌سو، علم با واقع سروکار دارد و از سو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گر، گزاره‌ها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حاو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نبا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ارتباط منطق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 جهان واقع ندارند، بنابرا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هر رشته‌ا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معرفت که مشتمل بر گزاره‌ها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از آن جهت که ارتباط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 واقع ندارد اساساً علم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 آنجا که شکاف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ان ارزش و واقع، عمل و نظر و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هست مانع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 سر راه پذ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رش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است، در ادامه به نظر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مطرح در باب رابطة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هست اشاره خواهد شد.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پرسش آغازگر بحث رابطه ارزش و واقع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است که آ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نبا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که در علوم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وجود دارد اعتبار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محض است و ارتباط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 واقع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ت ندارد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نکه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نبا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دها، ذهن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اعتبار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نبوده، بلکه با واقع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خارج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مرتبط است.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دربارة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موضوع دو نظر عمده در فلسفة اخلاق، وجود دارد. دسته‌ا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نبا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دها را 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‌ارتباط با خارج دانسته و هر کدام را مربوط به حوزه خاص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‌دانند که ربط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حوزه 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ندارد و بر هم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اساس ادعا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‌کنند که گزاره‌ها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علم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ستند. اما برخ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معتقدند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نبا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دها در واقع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شه دارند.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دسته از اند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شمندان تفس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مختلف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ارتباط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نبا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دها با هست‌ها و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ست‌ها ارائه کرده‌اند. با توجه به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نکه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ن بحث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بحث‌ها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مسئله مورد بررس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بوده و از مهم‌تر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حلقه‌ها 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اثبات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شمار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‌آ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د، در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بخش، اقوال مطرح‌شده با تفص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شتر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بررس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</w:rPr>
      </w:pP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پ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ش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نه تفک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ک با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د و هست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مسئله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هست با نام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د</w:t>
      </w:r>
      <w:r w:rsidR="00D861D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و</w:t>
      </w:r>
      <w:r w:rsidR="00D861D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د ه</w:t>
      </w:r>
      <w:r w:rsidR="00D861D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وم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ف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لسوف تجربه‌گرا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انگل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گره خورده است. 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اول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بار به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نکته توجه کرد و در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مورد هشدار داد، ز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 او مخالف استنتاج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از هست بود و آن را نامعقول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‌دانست.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ه</w:t>
      </w:r>
      <w:r w:rsidR="00D861D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وم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د: در رو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 نظام‌ها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گوناگون همواره 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ده‌ام که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نظام‌ها از اثبات وجود خدا و نظر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باب 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ژگ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شروع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‌کنند، اما ناگهان سر از گزاره‌ها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نبا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‌آورند.</w:t>
      </w:r>
      <w:bookmarkStart w:id="34" w:name="_ednref30"/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"_edn30"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30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34"/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روند استنتاج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از هست اظهار تعجب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‌کند و توجه به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نکته را سرآغاز تحول در نظام‌ها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متعارف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‌داند. در حق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قت، تعجب او از آن است که چگونه ممکن است از گزاره‌ها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توص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،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کباره گزاره‌ها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توص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ه‌ا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جه گرفته شود.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افزون بر نظر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د</w:t>
      </w:r>
      <w:r w:rsidR="00D861D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و</w:t>
      </w:r>
      <w:r w:rsidR="00D861D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د ه</w:t>
      </w:r>
      <w:r w:rsidR="00D861D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وم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به عنوان اول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مخالف ارتباط منطق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هست، نظر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در فلسفه اخلاق مطرح است که منشأ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را واقع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‌دانند.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اشاره به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نکته لازم است که معنا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ارتباط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هست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که ما بتوان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از هر هست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‌با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اخذ کن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م، ز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 بنا بر نظر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ة مورد قبول در بحث ارتباط منطق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هست، تنها در موارد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که 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دو پد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رابطة علّت و معلول برقرار باشد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امر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سر خواهد بود. پس، طرف‌داران نظر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ارتباط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هست ادعا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موجبه کل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ندارند. اما منکران وجود رابطه 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آن دو ادعا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سالبه کل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داشته و مدع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هستند که حت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 مورد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نم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از واقع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 هست،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استنتاج کرد.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نکته 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که توجه به آن لازم است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است که مخالفان، منکر آن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ستند که بتوان نتا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احکام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داشت، بلکه آنها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ند بدون داشتن دست‌کم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 «با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د»، ه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چ‌گونه نت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جه اخلاق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گرفت و تنها مقدمات علم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اخلاق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ـ با هم ـ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‌توانند به نت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جه اخلاق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منجر شوند و مقدمات علم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محض، حکم اخلاق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در پ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نخواهند داشت.</w:t>
      </w:r>
      <w:bookmarkStart w:id="35" w:name="_ednref31"/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"_edn31"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31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35"/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معنا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سخن آن است که ما از مقدمات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که تمام ‌آنها توص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هستند نم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نت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جه گرفت و 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جه گرفتن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 دستور مشتمل بر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نبا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وجود مقدمه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ن‌چن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لازم و ضرور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در مقابل، موافقان ارتباط منطق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هست، چن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ادعا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انکار كرده و برآنند که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از مقدمات توص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نت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جه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گرفت و ه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 اشکال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هم به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جه وارد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بنابرا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اختلاف بر سر آن است که آ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ه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قابل اخذ از هست‌ها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ست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دست‌کم برخ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گزاره‌ها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قابل اخذ از مقدمات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هستند که در آنها از دستور و امر و نه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خبر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</w:rPr>
      </w:pP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نظر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ه‌ها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مخالف ارتباط منطق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با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د و هست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طبق تقس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نظر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دو دسته نظر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توص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(به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نظر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ه‌ها، شناخت‌گرا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واقع‌گرا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گفته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‌شود) و غ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رتوص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(که به آن نظر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غ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رشناخت‌گرا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vertAlign w:val="superscript"/>
          <w:rtl/>
        </w:rPr>
        <w:t> 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غ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رواقع‌گرا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اطلاق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‌شود)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گفت که تمام نظر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غ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رتوص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شامل امرگرا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احساس‌گرا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توص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ه‌گرا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(هدا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ت‌گرا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) و علاوه بر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نظر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شهودگرا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که توص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است، به عدم ارتباط منطق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هست، عق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دارند. گرچه همه نظر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نام برده در مخالفت با ارتباط منطق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هست مشترک‌اند، اما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توجه داشت که هر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 از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نظر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ه‌ها بر اساس مبان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خاص خود، شکاف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هست را توج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‌کنند که بحث از مبان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ادله و نقاط قوت و ضعف آنها خارج از چارچوب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پژوهش است.</w:t>
      </w:r>
      <w:bookmarkStart w:id="36" w:name="_ednref32"/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"_edn32"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32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36"/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عصر کنون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برخ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افراد با تأک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بر تفک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 دانش از ارزش، از مخالفت با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دم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‌زنند. به عق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آنها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نبا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دها ه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 ارتباط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 هست‌ها و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ست‌ها ندارند؛ بد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معنا که نم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نبا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دها را از واقع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اخذ کرد. در واقع،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نها دو حوزه متفاوت از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گرند، ز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 علم، معرفت به واقع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است، و اخلاق، معرفت به ارزش‌ها. علم، مجموعه معارف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که به صورت کل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جزئ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توص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چگونگ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هست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‌ها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‌پردازد. علم با توص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سروکار دارد و واقع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موجود را 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گران وصف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‌کند. واقع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هم همان هست‌ها هستند. بنابرا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علم تنها از هست‌ها و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ست‌ها بحث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‌کند و کار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توص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ه‌ها، ارزش‌ها و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نبا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دها ندارد. «ه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 واقع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ت، از آن نظر که واقع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است و ه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 شناخت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واقع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ت، خود به خود، آفر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ننده ه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 ارزش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ست.»</w:t>
      </w:r>
      <w:bookmarkStart w:id="37" w:name="_ednref33"/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"_edn33"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33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37"/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مقابل، اخلاق با توص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و تکل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سروکار دارد و ارزش‌ها را شناسا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كرده و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نبا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به عنوان تکل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گوشزد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‌كند.</w:t>
      </w:r>
      <w:bookmarkStart w:id="38" w:name="_ednref34"/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"_edn34"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34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38"/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تاکنون به نوع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 ادله منکران امکان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بودن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آشنا شده و گفته شد که اتخاذ برخ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روش‌ها در مطالعه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اعتقاد به شکاف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هست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‌تواند مانع پذ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رش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باشد. بنابرا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نقد روش‌شناخت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مکاتب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که روش آنها مانع پذ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رش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ن‌گونه علوم است خواهد توانست مانع نخست را برطرف کند. در هم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راستا به نکته‌ها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انتقاد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ـ هرچند مختصر ـ اشاره شد.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نک مانع دوم،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اعتقاد به شکاف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هست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بررس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‌شود، از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ن‌رو، در ادامه با اشاره به اقوال مطرح‌شده در باب رابطه 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هست، به نظر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صح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تب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خواهد شد.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</w:rPr>
      </w:pP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نظر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ه‌ها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موافق رابطه منطق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با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د و هست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مکاتب لذت‌گرا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دن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اگر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قدرت‌گرا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عاطفه‌گرا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سودگرا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مکاتب واقع‌گرا در فلسفة اخلاق ـ به جز شهودگرا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که مخالف ارتباط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هست بودند ـ با ارتباط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هست موافق‌اند و در واقع، گزاره‌ها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ناظر به واقع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‌دانند. از آنجا که در کتاب‌ها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فلسفه اخلاق به نقد و بررس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مکاتب پرداخته شده است، در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نجا از بحث درباره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مکتب‌ها صرف‌نظر کرده و به طرح ک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ارتباط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هست از نگاه دانشمندان مسلمان پرداخته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دانشمندان علوم اسلام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 ورود به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بحث، به ارائه معنا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سپس به تبب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رابطه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هست پرداخته‌اند. در مجموع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نظر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مختلف در باب معان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نبا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را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ن‌گونه تقس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م‌بند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كرد:</w:t>
      </w:r>
    </w:p>
    <w:p w:rsidR="00C655B0" w:rsidRPr="00C655B0" w:rsidRDefault="00D861D1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ی</w:t>
      </w:r>
      <w:r w:rsidR="00C655B0"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با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C655B0"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به معنا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C655B0"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ضرورت است و 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C655B0"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به معنا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C655B0"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ضرورت ن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C655B0"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ست. اگر به معنا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C655B0"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ضرورت ن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C655B0"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ست 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C655B0"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صورت مجاز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C655B0"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حسن و قبح عقل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C655B0"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</w:t>
      </w:r>
      <w:bookmarkStart w:id="39" w:name="_ednref35"/>
      <w:r w:rsidR="00C655B0"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="00C655B0"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="00C655B0"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"_edn35" \o</w:instrText>
      </w:r>
      <w:r w:rsidR="00C655B0"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="00C655B0"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="00C655B0"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35</w:t>
      </w:r>
      <w:r w:rsidR="00C655B0"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39"/>
      <w:r w:rsidR="00C655B0"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="00C655B0"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و 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C655B0"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به معنا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C655B0"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دوست داشتن و دوست نداشتن است</w:t>
      </w:r>
      <w:bookmarkStart w:id="40" w:name="_ednref36"/>
      <w:r w:rsidR="00C655B0"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="00C655B0"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="00C655B0"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"_edn36" \o</w:instrText>
      </w:r>
      <w:r w:rsidR="00C655B0"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="00C655B0"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="00C655B0"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36</w:t>
      </w:r>
      <w:r w:rsidR="00C655B0"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40"/>
      <w:r w:rsidR="00C655B0"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="00C655B0"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و 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C655B0"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معنا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C655B0"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تناسب و 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C655B0"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عدم تناسب با طبع انسان را تداع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C655B0"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C655B0"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‌کند. و اما اگر به معنا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C655B0"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ضرورت است، 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C655B0"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ضرورت آن ادعا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="00C655B0"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</w:t>
      </w:r>
      <w:bookmarkStart w:id="41" w:name="_ednref37"/>
      <w:r w:rsidR="00C655B0"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="00C655B0"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="00C655B0"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"_edn37" \o</w:instrText>
      </w:r>
      <w:r w:rsidR="00C655B0"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="00C655B0"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="00C655B0"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37</w:t>
      </w:r>
      <w:r w:rsidR="00C655B0"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41"/>
      <w:r w:rsidR="00C655B0"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="00C655B0"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و 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C655B0"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ضرورت آن برخاسته از وجدان فرد است</w:t>
      </w:r>
      <w:bookmarkStart w:id="42" w:name="_ednref38"/>
      <w:r w:rsidR="00C655B0"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="00C655B0"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="00C655B0"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"_edn38" \o</w:instrText>
      </w:r>
      <w:r w:rsidR="00C655B0"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="00C655B0"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="00C655B0"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38</w:t>
      </w:r>
      <w:r w:rsidR="00C655B0"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42"/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C655B0"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ضرورت بالغ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C655B0"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دارد</w:t>
      </w:r>
      <w:bookmarkStart w:id="43" w:name="_ednref39"/>
      <w:r w:rsidR="00C655B0"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="00C655B0"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="00C655B0"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"_edn39" \o</w:instrText>
      </w:r>
      <w:r w:rsidR="00C655B0"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="00C655B0"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="00C655B0"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39</w:t>
      </w:r>
      <w:r w:rsidR="00C655B0"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43"/>
      <w:r w:rsidR="00C655B0"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="00C655B0"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و 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C655B0"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ضرورت آن با توجه به نت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C655B0"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جه و به اصطلاح، ضرورت بالق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C655B0"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اس ال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C655B0"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الغ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C655B0"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است.</w:t>
      </w:r>
      <w:bookmarkStart w:id="44" w:name="_ednref40"/>
      <w:r w:rsidR="00C655B0"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="00C655B0"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="00C655B0"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"_edn40" \o</w:instrText>
      </w:r>
      <w:r w:rsidR="00C655B0"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="00C655B0"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="00C655B0"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40</w:t>
      </w:r>
      <w:r w:rsidR="00C655B0"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44"/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 آنجا که نقل، نقد و بررس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تمام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نظر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ه‌ها ارتباط مستق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 موضوع مورد مطالعه ما ندارد، در ادامه به تب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نظر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صح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 که همان رابطة ضرورت بالق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اس ال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‌الغ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فعل و غا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آن است، پرداخته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</w:rPr>
      </w:pP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ضرورت بالق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اس م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ان فعل و نت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جه آن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 اساس نظر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ة صح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 دربارة معنا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نبا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گفت مفاد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نبا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ضرورت است، اما نه ضرورت ادعا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نه ضرورت بالغ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و نه ضرورت برخاسته از وجدان افراد. ضرورت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که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نبا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حاک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آن است ضرورت بالق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اس ال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الغ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است.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نوع از ضرورت در مورد علت و معلول مطرح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‌شود، البته در زمان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که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دو با هم سنج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شوند. 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مثال، اگر علت نظم اجتماع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اجرا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عدالت باشد هنگام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که اجرا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عدالت را با نظم اجتماع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سنج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و مقا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سه کن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خواه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که نسبت 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ن آنها ضرورت است؛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نکه نظم در اجتماع برقرار شود اجرا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عدالت ضرورت دارد.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ضرورت، ضرورت بالق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اس ال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الغ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است که 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سهولت ضرورت بالق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اس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نام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‌شود. هم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نسبت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افعال انسان و غا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او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برقرار است، ز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 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آنکه انسان به هدف خو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در زندگ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دست پ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دا کند لازم است افعال متناسب با آن را انجام داده و از افعال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که او را از رس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دن به آن آرمان دور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‌کند، دور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گز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ند. معنا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سخن آن است که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برخ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کارها را انجام دهد و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برخ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کارها را انجام ندهد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نبا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برخ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کارها را انجام دهد. بنابرا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با نسبت‌سنج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برخ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افعال که در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نجا علت هستند، با هدف فرد درم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که انجام آنها ضرورت دارد و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ضرورت همان ضرورت بالق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اس است. 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مثال، اگر در علم اخلاق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«با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د امانت‌دار بود»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«با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راستگو بود»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معنا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است که 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دن به کمال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د امانت‌دار بود و راست گفت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به عبارت 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گر، امانت‌دار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راستگو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شرط‌ها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لازم 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دن به کمال هستند.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آ</w:t>
      </w:r>
      <w:r w:rsidR="00D861D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ت‌الله مصباح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آثار خود بر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مطلب تصر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 کرده است.</w:t>
      </w:r>
      <w:bookmarkStart w:id="45" w:name="_ednref41"/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"_edn41"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41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45"/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 از نظر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که در ابتدا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بحث به آنها اشاره شد، اشکالات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دارند که در کتاب‌ها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فلسفه اخلاق به آنها اشاره شده است. اما نظر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اخ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که مفاد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نبا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را ضرورت بالق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اس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‌داند از همه متقن‌تر به نظر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‌رسد.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</w:rPr>
      </w:pP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نت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جه‌گ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ر</w:t>
      </w:r>
      <w:r w:rsidR="00D861D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گفته شد که در امکان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بحث‌ها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ف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لسوفان علم وجود دارد. برخ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اند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شمندان به علت برگز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دن روش‌ها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ناسازگار با پذ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رش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برخ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گر، با اعتقاد به عدم ارتباط منطق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واقع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 ارزش، منکر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شده‌اند. با نقد و بررس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دو عامل،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جه حاصل شد که در صورت برگز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دن روش‌ها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مناسب، چون روش وح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کنار روش‌ها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و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حل مسئله رابطه 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هست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از علم بودن بخش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علوم، دفاع معقولانه کرد و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دستور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به علت حکا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تگر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خارج، علم دانست.</w:t>
      </w:r>
    </w:p>
    <w:p w:rsidR="00C655B0" w:rsidRPr="00C655B0" w:rsidRDefault="00D861D1" w:rsidP="00C655B0">
      <w:pPr>
        <w:shd w:val="clear" w:color="auto" w:fill="FFFFFF"/>
        <w:spacing w:after="0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B Mitra"/>
          <w:color w:val="000000"/>
          <w:sz w:val="24"/>
          <w:szCs w:val="24"/>
        </w:rPr>
        <w:pict>
          <v:rect id="_x0000_i1027" style="width:0;height:.75pt" o:hralign="right" o:hrstd="t" o:hr="t" fillcolor="#a0a0a0" stroked="f"/>
        </w:pic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پ</w:t>
      </w:r>
      <w:r w:rsidR="00D861D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‌نوشت‌ها:</w:t>
      </w:r>
    </w:p>
    <w:bookmarkStart w:id="46" w:name="_edn1"/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"_ednref1"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1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46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. 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</w:rPr>
        <w:t>Geisteswissenschaften</w:t>
      </w:r>
    </w:p>
    <w:bookmarkStart w:id="47" w:name="_edn2"/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"_ednref2"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2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47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ژول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فروند،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‌نظر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ه‌ها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مربوط به علوم انسان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،‌ ترجمة عل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‌محمد كاردان،‌ ص 3-4.</w:t>
      </w:r>
    </w:p>
    <w:bookmarkStart w:id="48" w:name="_edn3"/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lastRenderedPageBreak/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"_ednref3"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3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48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همان، ص 3.</w:t>
      </w:r>
    </w:p>
    <w:bookmarkStart w:id="49" w:name="_edn4"/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"_ednref4"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4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49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عل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مصباح،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جزوه درس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فلسفه علوم انسان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 10.</w:t>
      </w:r>
    </w:p>
    <w:bookmarkStart w:id="50" w:name="_edn5"/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"_ednref5"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5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50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فل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شاله،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شناخت روش علوم 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 فلسفه علم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، ترجمة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مهدو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 173- 174.</w:t>
      </w:r>
    </w:p>
    <w:bookmarkStart w:id="51" w:name="_edn6"/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"_ednref6"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6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51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همان،‌ ص 174.</w:t>
      </w:r>
    </w:p>
    <w:bookmarkStart w:id="52" w:name="_edn7"/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"_ednref7"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7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52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ژول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فروند،‌ همان، ص 62- 66.</w:t>
      </w:r>
    </w:p>
    <w:bookmarkStart w:id="53" w:name="_edn8"/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"_ednref8"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8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53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نور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اض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«جستار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اهم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 ارزش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رابطه آن با علوم طب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 در وضع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ران معاصر، ج 1، ص 340- 341.</w:t>
      </w:r>
    </w:p>
    <w:bookmarkStart w:id="54" w:name="_edn9"/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"_ednref9"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9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54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عبدالکر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سروش،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تفرج صنع، گفتارها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در مقولات اخلاق و صنعت و علم انسان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 24.</w:t>
      </w:r>
    </w:p>
    <w:bookmarkStart w:id="55" w:name="_edn10"/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"_ednref10"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10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55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محمدتق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مصباح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«کاربرد معارف اسلام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»،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مسجد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، سال دوم، ش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ازدهم، ص 9.</w:t>
      </w:r>
    </w:p>
    <w:bookmarkStart w:id="56" w:name="_edn11"/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"_ednref11"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11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56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ژان فرانسوا دورت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ه،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علوم انسان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گستره شناخت‌ها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ترجمة مرتض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کُتُب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جلال الد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رف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cs/>
        </w:rPr>
        <w:t>‎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فر، ناصر فکوه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 17- 18.</w:t>
      </w:r>
    </w:p>
    <w:bookmarkStart w:id="57" w:name="_edn12"/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"_ednref12"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12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57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محمدتق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مصباح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جامعه و تار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خ تار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خ از د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دگاه قرآن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 4- 5.</w:t>
      </w:r>
    </w:p>
    <w:bookmarkStart w:id="58" w:name="_edn13"/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"_ednref13"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13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58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محمدتق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مصباح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حقوق و س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است در قرآن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،‌ نگارش محمد شهراب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 17- 18.</w:t>
      </w:r>
    </w:p>
    <w:bookmarkStart w:id="59" w:name="_edn14"/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"_ednref14"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14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59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محسن فرمه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فراهان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فرهنگ توص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ف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علوم ترب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ت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،‌ ص 405.</w:t>
      </w:r>
    </w:p>
    <w:bookmarkStart w:id="60" w:name="_edn15"/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"_ednref15"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15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60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همان.</w:t>
      </w:r>
    </w:p>
    <w:bookmarkStart w:id="61" w:name="_edn16"/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"_ednref16"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16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61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جم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صل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با،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فرهنگ فلسف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ترجمة منوچهر صانع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درّه‌ب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 480.</w:t>
      </w:r>
    </w:p>
    <w:bookmarkStart w:id="62" w:name="_edn17"/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"_ednref17"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17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62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. 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</w:rPr>
        <w:t>Wundt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</w:t>
      </w:r>
    </w:p>
    <w:bookmarkStart w:id="63" w:name="_edn18"/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"_ednref18"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18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63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همان، ص 602.</w:t>
      </w:r>
    </w:p>
    <w:bookmarkStart w:id="64" w:name="_edn19"/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"_ednref19"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19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64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. 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</w:rPr>
        <w:t>Historicism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</w:t>
      </w:r>
    </w:p>
    <w:bookmarkStart w:id="65" w:name="_edn20"/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"_ednref20"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20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65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. 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</w:rPr>
        <w:t>Brian Fay, Cotemporary Philosophy of Social Science, p 169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</w:t>
      </w:r>
    </w:p>
    <w:bookmarkStart w:id="66" w:name="_edn21"/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"_ednref21"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21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66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ژول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فروند،‌ همان، ص 25- 44.</w:t>
      </w:r>
    </w:p>
    <w:bookmarkStart w:id="67" w:name="_edn22"/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"_ednref22"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22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67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. 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</w:rPr>
        <w:t>Brian Fay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,</w:t>
      </w:r>
      <w:r w:rsidRPr="00C655B0">
        <w:rPr>
          <w:rFonts w:ascii="Cambria" w:eastAsia="Times New Roman" w:hAnsi="Cambria" w:cs="Cambria" w:hint="cs"/>
          <w:b/>
          <w:bCs/>
          <w:i/>
          <w:iCs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</w:rPr>
        <w:t>opcit, p</w:t>
      </w:r>
      <w:proofErr w:type="gramStart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</w:rPr>
        <w:t>:158</w:t>
      </w:r>
      <w:proofErr w:type="gramEnd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</w:t>
      </w:r>
    </w:p>
    <w:bookmarkStart w:id="68" w:name="_edn23"/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"_ednref23"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23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68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. 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</w:rPr>
        <w:t>Ibid, p</w:t>
      </w:r>
      <w:proofErr w:type="gramStart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</w:rPr>
        <w:t>:169</w:t>
      </w:r>
      <w:proofErr w:type="gramEnd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</w:rPr>
        <w:t>- 171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</w:t>
      </w:r>
    </w:p>
    <w:bookmarkStart w:id="69" w:name="_edn24"/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"_ednref24"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24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69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محمدتق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مصباح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آموزش فلسفه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ج1، ص 143- 270.</w:t>
      </w:r>
    </w:p>
    <w:bookmarkStart w:id="70" w:name="_edn25"/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lastRenderedPageBreak/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"_ednref25"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25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70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مجتب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مصباح،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بن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اد اخلاق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 90- 107.</w:t>
      </w:r>
    </w:p>
    <w:bookmarkStart w:id="71" w:name="_edn26"/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"_ednref26"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26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71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مطالعه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شتر در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زم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 ر.ك: همان،‌ ص 93.</w:t>
      </w:r>
    </w:p>
    <w:bookmarkStart w:id="72" w:name="_edn27"/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"_ednref27"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27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72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عل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مصباح،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جزوه درآمد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بر فلسفه علوم انسان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 32 و 43- 44.</w:t>
      </w:r>
    </w:p>
    <w:bookmarkStart w:id="73" w:name="_edn28"/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"_ednref28"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28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73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عبد الكر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سروش،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علم چ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ست؟‌ فلسفه چ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ست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 86.</w:t>
      </w:r>
    </w:p>
    <w:bookmarkStart w:id="74" w:name="_edn29"/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"_ednref29"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29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74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عبد الكر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سروش،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تفرج صنع، گفتارها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در مقولات اخلاق و صنعت و علم انسان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 172.</w:t>
      </w:r>
    </w:p>
    <w:bookmarkStart w:id="75" w:name="_edn30"/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"_ednref30"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30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75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. 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</w:rPr>
        <w:t>David Hume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,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</w:rPr>
        <w:t>ATreatise of Human Nature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, 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</w:rPr>
        <w:t>p521</w:t>
      </w:r>
      <w:r w:rsidRPr="00C655B0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.</w:t>
      </w:r>
    </w:p>
    <w:bookmarkStart w:id="76" w:name="_edn31"/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"_ednref31"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31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76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عبدالكر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سروش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، ‌دانش و ارزش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،‌ ص 223.</w:t>
      </w:r>
    </w:p>
    <w:bookmarkStart w:id="77" w:name="_edn32"/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"_ednref32"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32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77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برا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مطالعه 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شتر پ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رامون 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مسأله ر.ک: محمدتق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مصباح،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نقد و بررس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مکاتب اخلاق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تحق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و نگارش احمدحس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شر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؛ محسن جواد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مسأله با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د و هست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(بحث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رابطه با ارزش و واقع)؛ حسن معلّم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مبان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اخلاق در فلسفه غرب و در فلسفه اسلام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 127- 147؛ مجتب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مصباح، همان، ص 118 </w:t>
      </w:r>
      <w:r w:rsidRPr="00C655B0">
        <w:rPr>
          <w:rFonts w:ascii="Sakkal Majalla" w:eastAsia="Times New Roman" w:hAnsi="Sakkal Majalla" w:cs="Sakkal Majalla" w:hint="cs"/>
          <w:color w:val="000000"/>
          <w:sz w:val="24"/>
          <w:szCs w:val="24"/>
          <w:rtl/>
        </w:rPr>
        <w:t>–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141.</w:t>
      </w:r>
    </w:p>
    <w:bookmarkStart w:id="78" w:name="_edn33"/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"_ednref33"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33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78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عبدالكر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سروش، همان، ص 13.</w:t>
      </w:r>
    </w:p>
    <w:bookmarkStart w:id="79" w:name="_edn34"/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"_ednref34"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34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79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همان، ص 223.</w:t>
      </w:r>
    </w:p>
    <w:bookmarkStart w:id="80" w:name="_edn35"/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"_ednref35"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35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80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محمد حس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اصفهان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نها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ه الدرا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ه ف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شرح الکفا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ه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ج 3، ص 17- 18.</w:t>
      </w:r>
    </w:p>
    <w:bookmarkStart w:id="81" w:name="_edn36"/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"_ednref36"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36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81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مرتض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مطهر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نقد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بر مارکس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سم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،‌ ص 208.</w:t>
      </w:r>
    </w:p>
    <w:bookmarkStart w:id="82" w:name="_edn37"/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"_ednref37"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37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82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دمحمدحس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طباطبا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، اصول فلسفه و روش رئال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سم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ج 2، ص 179- 185.</w:t>
      </w:r>
    </w:p>
    <w:bookmarkStart w:id="83" w:name="_edn38"/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"_ednref38"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38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83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صادق لار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جزوه درس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فلسفه اخلاق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 64- 65.</w:t>
      </w:r>
    </w:p>
    <w:bookmarkStart w:id="84" w:name="_edn39"/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"_ednref39"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39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84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مهد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حائر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کاوش‌ها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عقل عمل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 102.</w:t>
      </w:r>
    </w:p>
    <w:bookmarkStart w:id="85" w:name="_edn40"/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"_ednref40"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40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85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محمدتق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مصباح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آموزش فلسفه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ج1، ص 204- 205.</w:t>
      </w:r>
    </w:p>
    <w:bookmarkStart w:id="86" w:name="_edn41"/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"http://marefateakhlagi.nashriyat.ir/node/119" \l "_ednref41" \o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C655B0">
        <w:rPr>
          <w:rFonts w:ascii="Times New Roman" w:eastAsia="Times New Roman" w:hAnsi="Times New Roman" w:cs="B Mitra" w:hint="cs"/>
          <w:color w:val="000080"/>
          <w:sz w:val="24"/>
          <w:szCs w:val="24"/>
          <w:vertAlign w:val="superscript"/>
          <w:rtl/>
        </w:rPr>
        <w:t>41</w:t>
      </w:r>
      <w:r w:rsidRPr="00C655B0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86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همان.</w:t>
      </w:r>
    </w:p>
    <w:p w:rsidR="00C655B0" w:rsidRPr="00C655B0" w:rsidRDefault="00D861D1" w:rsidP="00C655B0">
      <w:pPr>
        <w:shd w:val="clear" w:color="auto" w:fill="FFFFFF"/>
        <w:spacing w:after="0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B Mitra"/>
          <w:color w:val="000000"/>
          <w:sz w:val="24"/>
          <w:szCs w:val="24"/>
        </w:rPr>
        <w:pict>
          <v:rect id="_x0000_i1028" style="width:0;height:.75pt" o:hralign="right" o:hrstd="t" o:hr="t" fillcolor="#a0a0a0" stroked="f"/>
        </w:pic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C655B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منابع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اصفهان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محمدحس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نها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ه الدرا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ه ف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شرح الکفا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ه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روت، موسّسه آل الب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(ع) لإح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اء التراث، ج 3، 1429ق.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دورت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ه، ژان فرانسوا،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علوم انسان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گستره شناخت‌ها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ترجمة مرتض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کُتُب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جلال الد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رف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cs/>
        </w:rPr>
        <w:t>‎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فر، ناصر فکوه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1382.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جواد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محسن،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مسأله با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د و هست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(بحث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رابطه با ارزش و واقع)، قم، دفتر تبل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غات اسلام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1375.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حائر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مهد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کاوش‌ها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عقل عمل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موسّسه مطاالعات و تحق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قات فرهنگ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1361.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اض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نور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ه، «جستار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دراهم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 ارزش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رابطه آن با علوم طب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در وضع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ت علوم انسان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در ا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ران معاصر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پژوهشگاه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مطالعات فرهنگ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1387.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سروش، عبدالکر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م،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تفرج صنع، گفتارها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در مقولات اخلاق و صنعت و علم انسان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سروش، 1366.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ـــــ،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دانش و ارزش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، تهران،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اران، 1358.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ـــــ،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علم چ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ست؟‌ فلسفه چ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ست؟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موسسه فرهنگ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صراط، 1371.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شاله، فل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شناخت روش علوم 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 فلسفه علم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، ترجمة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مهدو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دانشگاه تهران، 1347.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صل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با، جم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ل،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فرهنگ فلسف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ترجمة منوچهر صانع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درّه‌ب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حکمت، 1366.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طباطبا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دمحمدحس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اصول فلسفه و روش رئال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سم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قم، صدرا، 1362.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فرمه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فراهان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محسن،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فرهنگ توص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ف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علوم ترب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ت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اسرار دانش، 1378.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فروند، ژول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نظر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ه‌ها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مربوط به علوم انسان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ترجمة عل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‌محمد کاردان، تهران، مرکز نشر دانشگاه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1385.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لار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صادق،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جزوه درس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فلسفه اخلاق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،(ا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جزوه در دانشگاه ترب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مدرس موجود است.)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مصباح، عل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جزوه درآمد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بر فلسفه علوم انسان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(ا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جزوه در گروه فلسفه موسّسه آموزش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پژوهش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امام خم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(ره) موجود 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باشد.)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مصباح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محمدتق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آموزش فلسفه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مرکزچاپ و نشر سازمان تبل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غات اسلام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1370.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ـــــ،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جامعه و تار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خ از د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دگاه قرآن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شركت چاپ و نشر 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الملل، 1378.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ـــــ،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حقوق و س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است در قرآن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،‌ نگارش محمد شهراب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قم، موسسه آموزش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پژوهش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امام خم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(ره)، ‌1377.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ـــــ، «کاربرد معارف اسلام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علوم انسان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»،</w:t>
      </w:r>
      <w:r w:rsidRPr="00C655B0">
        <w:rPr>
          <w:rFonts w:ascii="Cambria" w:eastAsia="Times New Roman" w:hAnsi="Cambria" w:cs="Cambria" w:hint="cs"/>
          <w:b/>
          <w:bCs/>
          <w:i/>
          <w:iCs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مسجد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، سال دوم، ش 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ازدهم، 1372، ص 9- 12.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ـــــ،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نقد و بررس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مکاتب اخلاق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تحق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و نگارش احمد حس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شر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‌قم،‌ موسّسه آموزش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پژوهش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امام خم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‌1384.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مصباح، مجتب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بن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اد اخلاق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قم، موسّسه آموزش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وپژوهش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امام خم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(ره)، 1387.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مطهر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مرتض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نقد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بر مارکس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سم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صدرا، 1363.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حسن معلّم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مبان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اخلاق در فلسفه غرب و در فلسفه اسلام</w:t>
      </w:r>
      <w:r w:rsidR="00D861D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پژوهشگاه فرهنگ و اند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شه اسلام</w:t>
      </w:r>
      <w:r w:rsidR="00D861D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1380.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</w:rPr>
        <w:lastRenderedPageBreak/>
        <w:t>Brian Fay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,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</w:rPr>
        <w:t>Cotemporary Philosophy of Social Science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: 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</w:rPr>
        <w:t>A Multicultural Approach, Blackwell</w:t>
      </w:r>
      <w:proofErr w:type="gramStart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</w:rPr>
        <w:t>,1996</w:t>
      </w:r>
      <w:proofErr w:type="gramEnd"/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</w:t>
      </w:r>
    </w:p>
    <w:p w:rsidR="00C655B0" w:rsidRPr="00C655B0" w:rsidRDefault="00C655B0" w:rsidP="00C6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</w:rPr>
        <w:t>David Hume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,</w:t>
      </w:r>
      <w:r w:rsidRPr="00C655B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655B0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</w:rPr>
        <w:t>ATreatise of Human Nature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, 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</w:rPr>
        <w:t>Penguin books, 1969</w:t>
      </w:r>
      <w:r w:rsidRPr="00C655B0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</w:t>
      </w:r>
    </w:p>
    <w:p w:rsidR="00D24975" w:rsidRDefault="00D24975" w:rsidP="00C655B0"/>
    <w:sectPr w:rsidR="00D24975" w:rsidSect="00B86F9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87"/>
    <w:rsid w:val="001623C0"/>
    <w:rsid w:val="00A67887"/>
    <w:rsid w:val="00B86F9F"/>
    <w:rsid w:val="00C655B0"/>
    <w:rsid w:val="00D24975"/>
    <w:rsid w:val="00D8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D06B28-005E-42C5-9FF7-996B570C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C655B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55B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tecenter">
    <w:name w:val="rtecenter"/>
    <w:basedOn w:val="Normal"/>
    <w:rsid w:val="00C655B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left">
    <w:name w:val="rteleft"/>
    <w:basedOn w:val="Normal"/>
    <w:rsid w:val="00C655B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55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55B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gi136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6170</Words>
  <Characters>35170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morabi-akhlagh</dc:creator>
  <cp:keywords/>
  <dc:description/>
  <cp:lastModifiedBy>morabi-akhlagh</cp:lastModifiedBy>
  <cp:revision>3</cp:revision>
  <dcterms:created xsi:type="dcterms:W3CDTF">2018-01-28T07:47:00Z</dcterms:created>
  <dcterms:modified xsi:type="dcterms:W3CDTF">2018-12-26T08:35:00Z</dcterms:modified>
</cp:coreProperties>
</file>