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نقش واقع‌گرايي در اخلاق كاربردي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سال دوم، شماره چهارم، پاييز، 1390، صفحه 123 ـ 150</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bookmarkStart w:id="0" w:name="_GoBack"/>
      <w:bookmarkEnd w:id="0"/>
      <w:r w:rsidRPr="00286172">
        <w:rPr>
          <w:rFonts w:ascii="Times New Roman" w:eastAsia="Times New Roman" w:hAnsi="Times New Roman" w:cs="B Mitra" w:hint="cs"/>
          <w:b/>
          <w:bCs/>
          <w:color w:val="000000"/>
          <w:sz w:val="24"/>
          <w:szCs w:val="24"/>
          <w:rtl/>
        </w:rPr>
        <w:t>احمد محمدي‌پيرو</w:t>
      </w:r>
      <w:bookmarkStart w:id="1" w:name="_ftnref1"/>
      <w:r w:rsidRPr="00286172">
        <w:rPr>
          <w:rFonts w:ascii="Times New Roman" w:eastAsia="Times New Roman" w:hAnsi="Times New Roman" w:cs="B Mitra"/>
          <w:b/>
          <w:bCs/>
          <w:color w:val="000000"/>
          <w:sz w:val="24"/>
          <w:szCs w:val="24"/>
        </w:rPr>
        <w:fldChar w:fldCharType="begin"/>
      </w:r>
      <w:r w:rsidRPr="00286172">
        <w:rPr>
          <w:rFonts w:ascii="Times New Roman" w:eastAsia="Times New Roman" w:hAnsi="Times New Roman" w:cs="B Mitra"/>
          <w:b/>
          <w:bCs/>
          <w:color w:val="000000"/>
          <w:sz w:val="24"/>
          <w:szCs w:val="24"/>
        </w:rPr>
        <w:instrText xml:space="preserve"> HYPERLINK "http://marefateakhlagi.nashriyat.ir/node/87" \l "_ftn1" \o "" </w:instrText>
      </w:r>
      <w:r w:rsidRPr="00286172">
        <w:rPr>
          <w:rFonts w:ascii="Times New Roman" w:eastAsia="Times New Roman" w:hAnsi="Times New Roman" w:cs="B Mitra"/>
          <w:b/>
          <w:bCs/>
          <w:color w:val="000000"/>
          <w:sz w:val="24"/>
          <w:szCs w:val="24"/>
        </w:rPr>
        <w:fldChar w:fldCharType="separate"/>
      </w:r>
      <w:r w:rsidRPr="00286172">
        <w:rPr>
          <w:rFonts w:ascii="Times New Roman" w:eastAsia="Times New Roman" w:hAnsi="Times New Roman" w:cs="B Mitra" w:hint="cs"/>
          <w:b/>
          <w:bCs/>
          <w:color w:val="000080"/>
          <w:sz w:val="24"/>
          <w:szCs w:val="24"/>
        </w:rPr>
        <w:t>*</w:t>
      </w:r>
      <w:r w:rsidRPr="00286172">
        <w:rPr>
          <w:rFonts w:ascii="Times New Roman" w:eastAsia="Times New Roman" w:hAnsi="Times New Roman" w:cs="B Mitra"/>
          <w:b/>
          <w:bCs/>
          <w:color w:val="000000"/>
          <w:sz w:val="24"/>
          <w:szCs w:val="24"/>
        </w:rPr>
        <w:fldChar w:fldCharType="end"/>
      </w:r>
      <w:bookmarkEnd w:id="1"/>
      <w:r w:rsidRPr="00286172">
        <w:rPr>
          <w:rFonts w:ascii="Times New Roman" w:eastAsia="Times New Roman" w:hAnsi="Times New Roman" w:cs="B Mitra" w:hint="cs"/>
          <w:b/>
          <w:bCs/>
          <w:color w:val="000000"/>
          <w:sz w:val="24"/>
          <w:szCs w:val="24"/>
        </w:rPr>
        <w:t xml:space="preserve"> / </w:t>
      </w:r>
      <w:r w:rsidRPr="00286172">
        <w:rPr>
          <w:rFonts w:ascii="Times New Roman" w:eastAsia="Times New Roman" w:hAnsi="Times New Roman" w:cs="B Mitra" w:hint="cs"/>
          <w:b/>
          <w:bCs/>
          <w:color w:val="000000"/>
          <w:sz w:val="24"/>
          <w:szCs w:val="24"/>
          <w:rtl/>
        </w:rPr>
        <w:t>احمدحسين شريفي</w:t>
      </w:r>
      <w:bookmarkStart w:id="2" w:name="_ftnref2"/>
      <w:r w:rsidRPr="00286172">
        <w:rPr>
          <w:rFonts w:ascii="Times New Roman" w:eastAsia="Times New Roman" w:hAnsi="Times New Roman" w:cs="B Mitra"/>
          <w:b/>
          <w:bCs/>
          <w:color w:val="000000"/>
          <w:sz w:val="24"/>
          <w:szCs w:val="24"/>
        </w:rPr>
        <w:fldChar w:fldCharType="begin"/>
      </w:r>
      <w:r w:rsidRPr="00286172">
        <w:rPr>
          <w:rFonts w:ascii="Times New Roman" w:eastAsia="Times New Roman" w:hAnsi="Times New Roman" w:cs="B Mitra"/>
          <w:b/>
          <w:bCs/>
          <w:color w:val="000000"/>
          <w:sz w:val="24"/>
          <w:szCs w:val="24"/>
        </w:rPr>
        <w:instrText xml:space="preserve"> HYPERLINK "http://marefateakhlagi.nashriyat.ir/node/87" \l "_ftn2" \o "" </w:instrText>
      </w:r>
      <w:r w:rsidRPr="00286172">
        <w:rPr>
          <w:rFonts w:ascii="Times New Roman" w:eastAsia="Times New Roman" w:hAnsi="Times New Roman" w:cs="B Mitra"/>
          <w:b/>
          <w:bCs/>
          <w:color w:val="000000"/>
          <w:sz w:val="24"/>
          <w:szCs w:val="24"/>
        </w:rPr>
        <w:fldChar w:fldCharType="separate"/>
      </w:r>
      <w:r w:rsidRPr="00286172">
        <w:rPr>
          <w:rFonts w:ascii="Times New Roman" w:eastAsia="Times New Roman" w:hAnsi="Times New Roman" w:cs="B Mitra" w:hint="cs"/>
          <w:b/>
          <w:bCs/>
          <w:color w:val="000080"/>
          <w:sz w:val="24"/>
          <w:szCs w:val="24"/>
        </w:rPr>
        <w:t>**</w:t>
      </w:r>
      <w:r w:rsidRPr="00286172">
        <w:rPr>
          <w:rFonts w:ascii="Times New Roman" w:eastAsia="Times New Roman" w:hAnsi="Times New Roman" w:cs="B Mitra"/>
          <w:b/>
          <w:bCs/>
          <w:color w:val="000000"/>
          <w:sz w:val="24"/>
          <w:szCs w:val="24"/>
        </w:rPr>
        <w:fldChar w:fldCharType="end"/>
      </w:r>
      <w:bookmarkEnd w:id="2"/>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چكيده</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b/>
          <w:bCs/>
          <w:color w:val="000000"/>
          <w:sz w:val="24"/>
          <w:szCs w:val="24"/>
          <w:rtl/>
        </w:rPr>
        <w:t>واقع‌گرايي بدين معناست كه ارزش و لزوم اخلاقي، واقعيت داشته و ما آنها را كشف مي‌كنيم، نه جعل و اختراع. واقع‌گرايي مورد نظر، منشأ اخلاق را غيرتجربي، عقلاني و متافيزيكي مي‌داند</w:t>
      </w:r>
      <w:r w:rsidRPr="00286172">
        <w:rPr>
          <w:rFonts w:ascii="Times New Roman" w:eastAsia="Times New Roman" w:hAnsi="Times New Roman" w:cs="B Mitra" w:hint="cs"/>
          <w:b/>
          <w:b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b/>
          <w:bCs/>
          <w:color w:val="000000"/>
          <w:sz w:val="24"/>
          <w:szCs w:val="24"/>
          <w:rtl/>
        </w:rPr>
        <w:t>اخلاق كاربردي عبارت است از به كارگيري مباني و معيارهاي اخلاقي در موارد خاص؛ با اين توضيح كه مباني ارزش‌داوري اخلاقي، در فرا اخلاق و معيارهاي ارزش‌داوري اخلاقي نيز توسط اخلاق هنجاري بررسي مي‌شوند. مهم‌ترين مسئله در اخلاق كاربردي، تزاحم است. تزاحم، يعني تنافي دو حكم لازم‌الاجرا و داراي ملاك در مقام امتثال، به سبب عدم توانايي مكلف براي انجام هر دو در زمان واحد</w:t>
      </w:r>
      <w:r w:rsidRPr="00286172">
        <w:rPr>
          <w:rFonts w:ascii="Times New Roman" w:eastAsia="Times New Roman" w:hAnsi="Times New Roman" w:cs="B Mitra" w:hint="cs"/>
          <w:b/>
          <w:b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b/>
          <w:bCs/>
          <w:color w:val="000000"/>
          <w:sz w:val="24"/>
          <w:szCs w:val="24"/>
          <w:rtl/>
        </w:rPr>
        <w:t>واقع‌گرايي از چند جهت با تزاحمات اخلاقي مرتبط است: وجود تزاحمات، امكان ارائه راه حل و ابتناي معياري صحيح در حل تزاحمات بر واقع‌گرايي. معيار صحيح اين است كه هر فعلي كه بيشترين تأثير را در قرب الهي داشته باشد، مقدم است. بنابر ناواقع‌گرايي، اولاً: تزاحم رخ نمي‌دهد، ثانياً: در صورت پذيرش تزاحم، ارائه راه حل امكان‌پذير نيست</w:t>
      </w:r>
      <w:r w:rsidRPr="00286172">
        <w:rPr>
          <w:rFonts w:ascii="Times New Roman" w:eastAsia="Times New Roman" w:hAnsi="Times New Roman" w:cs="B Mitra" w:hint="cs"/>
          <w:b/>
          <w:b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b/>
          <w:bCs/>
          <w:color w:val="000000"/>
          <w:sz w:val="24"/>
          <w:szCs w:val="24"/>
          <w:rtl/>
        </w:rPr>
        <w:t>كليدواژه‌ها: واقع‌گرايي، ناواقع‌گرايي، اخلاق كاربردي، تزاحمات اخلاقي</w:t>
      </w:r>
      <w:r w:rsidRPr="00286172">
        <w:rPr>
          <w:rFonts w:ascii="Times New Roman" w:eastAsia="Times New Roman" w:hAnsi="Times New Roman" w:cs="B Mitra" w:hint="cs"/>
          <w:b/>
          <w:b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مقدمه</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آيا امري مستقل از آراي اخلاقي وجود دارد كه تعيين‌كننده درستي و نادرستي افعال باشد؟ آيا ارزش‌‌ها را خلق يا جعل مي‌كنيم و يا ارزش‌‌‌هاي موجود و مستقل را كشف مي‌كنيم؟ پاسخ‌‌هاي اثباتي يا سلبي به اين پرسش‌ها فيلسوفان را در دو دسته واقع‌گرا و ناواقع‌گرا مي‌گنجاند. بنا بر واقع‌گرايي، اولاً: واقعيت‌‌‌هاي اخلاقي، اموري عيني و مستقل از باور‌‌هاي انسان هستند. ثانياً: شناخت اخلاقي و توجيه باور‌‌هاي اخلاقي امكان‌پذير است</w:t>
      </w:r>
      <w:r w:rsidRPr="00286172">
        <w:rPr>
          <w:rFonts w:ascii="Times New Roman" w:eastAsia="Times New Roman" w:hAnsi="Times New Roman" w:cs="B Mitra" w:hint="cs"/>
          <w:color w:val="000000"/>
          <w:sz w:val="24"/>
          <w:szCs w:val="24"/>
        </w:rPr>
        <w:t>.</w:t>
      </w:r>
      <w:bookmarkStart w:id="3" w:name="_ednref1"/>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w:t>
      </w:r>
      <w:r w:rsidRPr="00286172">
        <w:rPr>
          <w:rFonts w:ascii="Times New Roman" w:eastAsia="Times New Roman" w:hAnsi="Times New Roman" w:cs="B Mitra"/>
          <w:color w:val="000000"/>
          <w:sz w:val="24"/>
          <w:szCs w:val="24"/>
        </w:rPr>
        <w:fldChar w:fldCharType="end"/>
      </w:r>
      <w:bookmarkEnd w:id="3"/>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ناواقع‌گرايي با جعلي و غير‌مستقل خواندن ارزش‌ها در مقابل واقع‌گرايي قرار مي‌گيرد. طرف‌داران هر دو نظريه با ارائه تفسيرهاي مختلف همراه با دلايل خاص خود، به گروه‌‌‌هاي مختلفي تقسيم مي‌شوند. در اين مقاله بنا نيست به همة اقسام آن پرداخته شود، بلكه واقع‌گرايي با تفسير مورد قبول، و ناواقع‌گرايي به عنوان امري كلي و مشترك بين همه اقسام مدنظر قرار خواهد گرفت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تصوير صحيح از واقع‌گرايي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تفسيرهاي گوناگوني از واقع‌گرايي وجود دارد</w:t>
      </w:r>
      <w:r w:rsidRPr="00286172">
        <w:rPr>
          <w:rFonts w:ascii="Times New Roman" w:eastAsia="Times New Roman" w:hAnsi="Times New Roman" w:cs="B Mitra" w:hint="cs"/>
          <w:color w:val="000000"/>
          <w:sz w:val="24"/>
          <w:szCs w:val="24"/>
        </w:rPr>
        <w:t>.</w:t>
      </w:r>
      <w:bookmarkStart w:id="4" w:name="_ednref2"/>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w:t>
      </w:r>
      <w:r w:rsidRPr="00286172">
        <w:rPr>
          <w:rFonts w:ascii="Times New Roman" w:eastAsia="Times New Roman" w:hAnsi="Times New Roman" w:cs="B Mitra"/>
          <w:color w:val="000000"/>
          <w:sz w:val="24"/>
          <w:szCs w:val="24"/>
        </w:rPr>
        <w:fldChar w:fldCharType="end"/>
      </w:r>
      <w:bookmarkEnd w:id="4"/>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يكي از تفسيرها كه شايد سريع‌تر از همه به ذهن افراد عادي تبادر مي‌كند، اين است كه خصوصيات اخلاقي، قابل مشاهده يا لمس‌كردني يا بوييدني است. اين تفسير، صحيح نيست، حتي افراطي‌ترين شهودگرا نيز مدعي نيست كه خوبي يك عمل، ديدني يا شنيدني و به طور كلي محسوس به حس ظاهري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براي روشن شدن تصوير صحيح از واقع‌گرايي بايد توجه داشت كه اين بحث در دو محور صورت مي‌گيرد: يكي، مفاهيم اخلاقي و ديگري اصل احكام و گزاره‌‌‌هاي اخلاقي؛ يعني گزارش‌دهي اين احكام از واقعيتي بيروني</w:t>
      </w:r>
      <w:r w:rsidRPr="00286172">
        <w:rPr>
          <w:rFonts w:ascii="Times New Roman" w:eastAsia="Times New Roman" w:hAnsi="Times New Roman" w:cs="B Mitra" w:hint="cs"/>
          <w:color w:val="000000"/>
          <w:sz w:val="24"/>
          <w:szCs w:val="24"/>
        </w:rPr>
        <w:t>.</w:t>
      </w:r>
      <w:bookmarkStart w:id="5" w:name="_ednref3"/>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w:t>
      </w:r>
      <w:r w:rsidRPr="00286172">
        <w:rPr>
          <w:rFonts w:ascii="Times New Roman" w:eastAsia="Times New Roman" w:hAnsi="Times New Roman" w:cs="B Mitra"/>
          <w:color w:val="000000"/>
          <w:sz w:val="24"/>
          <w:szCs w:val="24"/>
        </w:rPr>
        <w:fldChar w:fldCharType="end"/>
      </w:r>
      <w:bookmarkEnd w:id="5"/>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 xml:space="preserve">طبق مكتب واقع‌گرايي، مفاهيم و احكام اخلاقي هر دو از سنخ مفاهيم و احكام واقع‌نما هستند، هر چند واقعيتِ هر چيز به حسب خودش است. واقعيت احكام اخلاقي از سنخ واقعيت‌‌هاي عيني </w:t>
      </w:r>
      <w:r w:rsidRPr="00286172">
        <w:rPr>
          <w:rFonts w:ascii="Times New Roman" w:eastAsia="Times New Roman" w:hAnsi="Times New Roman" w:cs="B Mitra" w:hint="cs"/>
          <w:color w:val="000000"/>
          <w:sz w:val="24"/>
          <w:szCs w:val="24"/>
          <w:rtl/>
        </w:rPr>
        <w:lastRenderedPageBreak/>
        <w:t>محسوس نيست، بلكه از جمله واقعيت‌‌هاي فلسفي است كه منشأ انتزاع خارجي دارند، گرچه مابإزاي خارجي ندارند؛</w:t>
      </w:r>
      <w:bookmarkStart w:id="6" w:name="_ednref4"/>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w:t>
      </w:r>
      <w:r w:rsidRPr="00286172">
        <w:rPr>
          <w:rFonts w:ascii="Times New Roman" w:eastAsia="Times New Roman" w:hAnsi="Times New Roman" w:cs="B Mitra"/>
          <w:color w:val="000000"/>
          <w:sz w:val="24"/>
          <w:szCs w:val="24"/>
        </w:rPr>
        <w:fldChar w:fldCharType="end"/>
      </w:r>
      <w:bookmarkEnd w:id="6"/>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يعني به تبع مفاهيم اخلاقي كه از معقولات ثانيه فلسفي بوده و منشأ انتزاع عيني دارند، گزاره‌‌‌هاي اخلاقي نيز هر چند به صورت امري بيان شده باشند، جنبه توصيفي و اخباري دارند و به صورت مطابقي يا التزامي، بر خوبي و بدي واقعي افعال دلالت مي‌كنند</w:t>
      </w:r>
      <w:r w:rsidRPr="00286172">
        <w:rPr>
          <w:rFonts w:ascii="Times New Roman" w:eastAsia="Times New Roman" w:hAnsi="Times New Roman" w:cs="B Mitra" w:hint="cs"/>
          <w:color w:val="000000"/>
          <w:sz w:val="24"/>
          <w:szCs w:val="24"/>
        </w:rPr>
        <w:t>.</w:t>
      </w:r>
      <w:bookmarkStart w:id="7" w:name="_ednref5"/>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w:t>
      </w:r>
      <w:r w:rsidRPr="00286172">
        <w:rPr>
          <w:rFonts w:ascii="Times New Roman" w:eastAsia="Times New Roman" w:hAnsi="Times New Roman" w:cs="B Mitra"/>
          <w:color w:val="000000"/>
          <w:sz w:val="24"/>
          <w:szCs w:val="24"/>
        </w:rPr>
        <w:fldChar w:fldCharType="end"/>
      </w:r>
      <w:bookmarkEnd w:id="7"/>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بدين ترتيب، روشن مي‌شود كه اولاً: واقع‌گرايي به اين معناست كه ارزش و لزوم اخلاقي، امري واقعي بوده و گزاره‌هاي اخلاقي واقع‌نما هستند. ثانياً: واقعيت داشتن احكام اخلاقي به واقعيت داشتن مفاهيم توجيه مي‌شود</w:t>
      </w:r>
      <w:r w:rsidRPr="00286172">
        <w:rPr>
          <w:rFonts w:ascii="Times New Roman" w:eastAsia="Times New Roman" w:hAnsi="Times New Roman" w:cs="B Mitra" w:hint="cs"/>
          <w:color w:val="000000"/>
          <w:sz w:val="24"/>
          <w:szCs w:val="24"/>
        </w:rPr>
        <w:t>.</w:t>
      </w:r>
      <w:bookmarkStart w:id="8" w:name="_ednref6"/>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w:t>
      </w:r>
      <w:r w:rsidRPr="00286172">
        <w:rPr>
          <w:rFonts w:ascii="Times New Roman" w:eastAsia="Times New Roman" w:hAnsi="Times New Roman" w:cs="B Mitra"/>
          <w:color w:val="000000"/>
          <w:sz w:val="24"/>
          <w:szCs w:val="24"/>
        </w:rPr>
        <w:fldChar w:fldCharType="end"/>
      </w:r>
      <w:bookmarkEnd w:id="8"/>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بنابر واقع‌گرايي، احكام اخلاقي بيان‌كنندة رابطه حقيقي ميان فعل اختياري انسان و كمال مطلوبش هستند. چون وقتي مفهوم خوب و بد را از قبيل مفاهيم فلسفي و نشان‌دهنده همان نوع رابطه تلقّي كرديم، طبيعتاً قضيه مشتمل بر خوب و بد نيز از قبيل جمله‌‌‌هاي خبري و واقع‌نما بوده، از همان واقعيت حكايت مي‌كند. بر اين اساس، ملاك صدق و كذب قضاياي اخلاقي همان ملاك صدق و كذب قضاياي تجربي، منطقي يا فلسفي خواهد بود. ملاك صدق و كذب قضاياي اخلاقي تأثير و عدم تأثير حقيقي آنها در رسيدن به اهداف مطلوب است</w:t>
      </w:r>
      <w:r w:rsidRPr="00286172">
        <w:rPr>
          <w:rFonts w:ascii="Times New Roman" w:eastAsia="Times New Roman" w:hAnsi="Times New Roman" w:cs="B Mitra" w:hint="cs"/>
          <w:color w:val="000000"/>
          <w:sz w:val="24"/>
          <w:szCs w:val="24"/>
        </w:rPr>
        <w:t>.</w:t>
      </w:r>
      <w:bookmarkStart w:id="9" w:name="_ednref7"/>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7</w:t>
      </w:r>
      <w:r w:rsidRPr="00286172">
        <w:rPr>
          <w:rFonts w:ascii="Times New Roman" w:eastAsia="Times New Roman" w:hAnsi="Times New Roman" w:cs="B Mitra"/>
          <w:color w:val="000000"/>
          <w:sz w:val="24"/>
          <w:szCs w:val="24"/>
        </w:rPr>
        <w:fldChar w:fldCharType="end"/>
      </w:r>
      <w:bookmarkEnd w:id="9"/>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تأثير يا عدم تأثير حقيقي نيز به دليل پذيرش اين امر است كه حقايق مستقل از خواسته‌‌‌هاي ما وجود دارند. تفكر اخلاقي زماني آغاز مي‌شود كه ما سعي كنيم آن حقايق را آن‌‌طور كه هستند ببينيم</w:t>
      </w:r>
      <w:r w:rsidRPr="00286172">
        <w:rPr>
          <w:rFonts w:ascii="Times New Roman" w:eastAsia="Times New Roman" w:hAnsi="Times New Roman" w:cs="B Mitra" w:hint="cs"/>
          <w:color w:val="000000"/>
          <w:sz w:val="24"/>
          <w:szCs w:val="24"/>
        </w:rPr>
        <w:t>.</w:t>
      </w:r>
      <w:bookmarkStart w:id="10" w:name="_ednref8"/>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8</w:t>
      </w:r>
      <w:r w:rsidRPr="00286172">
        <w:rPr>
          <w:rFonts w:ascii="Times New Roman" w:eastAsia="Times New Roman" w:hAnsi="Times New Roman" w:cs="B Mitra"/>
          <w:color w:val="000000"/>
          <w:sz w:val="24"/>
          <w:szCs w:val="24"/>
        </w:rPr>
        <w:fldChar w:fldCharType="end"/>
      </w:r>
      <w:bookmarkEnd w:id="10"/>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انواع واقع‌گرايي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در يك تقسيم‌بندي كلي، واقع‌گرايي به دو دسته طبيعي و مابعدالطبيعي تقسيم مي‌شود. طبيعت‌گرايان معتقدند مفاهيم اخلاقي را مي‌توان با ارجاع به مفاهيم طبيعي و تجربي تعريف كرد. البته خود آنها در اينكه مفاهيم اخلاقي را با كدام‌يك از مفاهيم طبيعي مي‌توان تعريف كرد، اختلاف نظر دارند</w:t>
      </w:r>
      <w:r w:rsidRPr="00286172">
        <w:rPr>
          <w:rFonts w:ascii="Times New Roman" w:eastAsia="Times New Roman" w:hAnsi="Times New Roman" w:cs="B Mitra" w:hint="cs"/>
          <w:color w:val="000000"/>
          <w:sz w:val="24"/>
          <w:szCs w:val="24"/>
        </w:rPr>
        <w:t>.</w:t>
      </w:r>
      <w:bookmarkStart w:id="11" w:name="_ednref9"/>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9</w:t>
      </w:r>
      <w:r w:rsidRPr="00286172">
        <w:rPr>
          <w:rFonts w:ascii="Times New Roman" w:eastAsia="Times New Roman" w:hAnsi="Times New Roman" w:cs="B Mitra"/>
          <w:color w:val="000000"/>
          <w:sz w:val="24"/>
          <w:szCs w:val="24"/>
        </w:rPr>
        <w:fldChar w:fldCharType="end"/>
      </w:r>
      <w:bookmarkEnd w:id="11"/>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براي مثال، سودگراياني، مثل</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بنتام</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color w:val="000000"/>
          <w:sz w:val="24"/>
          <w:szCs w:val="24"/>
          <w:rtl/>
        </w:rPr>
        <w:t>و</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جان استوارت ميل</w:t>
      </w:r>
      <w:r w:rsidRPr="00286172">
        <w:rPr>
          <w:rFonts w:ascii="Times New Roman" w:eastAsia="Times New Roman" w:hAnsi="Times New Roman" w:cs="B Mitra" w:hint="cs"/>
          <w:color w:val="000000"/>
          <w:sz w:val="24"/>
          <w:szCs w:val="24"/>
          <w:rtl/>
        </w:rPr>
        <w:t>، فعل را بر اساس بيشترين سود براي همه كساني كه درگير آن هستند، تفسير كرده و اصل نهايي را اصل سود معرفي مي‌كنند</w:t>
      </w:r>
      <w:r w:rsidRPr="00286172">
        <w:rPr>
          <w:rFonts w:ascii="Times New Roman" w:eastAsia="Times New Roman" w:hAnsi="Times New Roman" w:cs="B Mitra" w:hint="cs"/>
          <w:color w:val="000000"/>
          <w:sz w:val="24"/>
          <w:szCs w:val="24"/>
        </w:rPr>
        <w:t>.</w:t>
      </w:r>
      <w:bookmarkStart w:id="12" w:name="_ednref10"/>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10</w:t>
      </w:r>
      <w:r w:rsidRPr="00286172">
        <w:rPr>
          <w:rFonts w:ascii="Times New Roman" w:eastAsia="Times New Roman" w:hAnsi="Times New Roman" w:cs="B Mitra"/>
          <w:color w:val="000000"/>
          <w:sz w:val="24"/>
          <w:szCs w:val="24"/>
        </w:rPr>
        <w:fldChar w:fldCharType="end"/>
      </w:r>
      <w:bookmarkEnd w:id="12"/>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واقع‌گرايي مابعدالطبيعي منشأ اخلاق را غيرتجربي، عقلاني و متافيزيكي مي‌داند. اين نوع واقع‌گرايي به چند دسته تقسيم مي‌شود. براي نمونه، مكتب</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كانت</w:t>
      </w:r>
      <w:r w:rsidRPr="00286172">
        <w:rPr>
          <w:rFonts w:ascii="Times New Roman" w:eastAsia="Times New Roman" w:hAnsi="Times New Roman" w:cs="B Mitra" w:hint="cs"/>
          <w:color w:val="000000"/>
          <w:sz w:val="24"/>
          <w:szCs w:val="24"/>
          <w:rtl/>
        </w:rPr>
        <w:t>يكي از اين نظريه‌هاست كه براي عقل عملي، مانند عقل نظري، احكامي بديهي و پيشيني قائل است. به نظر او عقل به تنهايي مي‌تواند اين مفاهيم و احكام را درك كند</w:t>
      </w:r>
      <w:r w:rsidRPr="00286172">
        <w:rPr>
          <w:rFonts w:ascii="Times New Roman" w:eastAsia="Times New Roman" w:hAnsi="Times New Roman" w:cs="B Mitra" w:hint="cs"/>
          <w:color w:val="000000"/>
          <w:sz w:val="24"/>
          <w:szCs w:val="24"/>
        </w:rPr>
        <w:t>.</w:t>
      </w:r>
      <w:bookmarkStart w:id="13" w:name="_ednref11"/>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11</w:t>
      </w:r>
      <w:r w:rsidRPr="00286172">
        <w:rPr>
          <w:rFonts w:ascii="Times New Roman" w:eastAsia="Times New Roman" w:hAnsi="Times New Roman" w:cs="B Mitra"/>
          <w:color w:val="000000"/>
          <w:sz w:val="24"/>
          <w:szCs w:val="24"/>
        </w:rPr>
        <w:fldChar w:fldCharType="end"/>
      </w:r>
      <w:bookmarkEnd w:id="13"/>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مكاتب هندوئيسم، بوديسم و امثال آن، كه قدر جامع آنها ترك تعلقات دنيوي است، و همچنين مكتب سعادت و كمال</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سقراط</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color w:val="000000"/>
          <w:sz w:val="24"/>
          <w:szCs w:val="24"/>
          <w:rtl/>
        </w:rPr>
        <w:t>و</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ارسطو</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color w:val="000000"/>
          <w:sz w:val="24"/>
          <w:szCs w:val="24"/>
          <w:rtl/>
        </w:rPr>
        <w:t>و مكتب اخلاقي اسلام، از ديگر مكاتبي هستند كه اخلاق را با استفاده از مباني متافيزيكي تبيين مي‌كنند</w:t>
      </w:r>
      <w:r w:rsidRPr="00286172">
        <w:rPr>
          <w:rFonts w:ascii="Times New Roman" w:eastAsia="Times New Roman" w:hAnsi="Times New Roman" w:cs="B Mitra" w:hint="cs"/>
          <w:color w:val="000000"/>
          <w:sz w:val="24"/>
          <w:szCs w:val="24"/>
        </w:rPr>
        <w:t>.</w:t>
      </w:r>
      <w:bookmarkStart w:id="14" w:name="_ednref12"/>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12</w:t>
      </w:r>
      <w:r w:rsidRPr="00286172">
        <w:rPr>
          <w:rFonts w:ascii="Times New Roman" w:eastAsia="Times New Roman" w:hAnsi="Times New Roman" w:cs="B Mitra"/>
          <w:color w:val="000000"/>
          <w:sz w:val="24"/>
          <w:szCs w:val="24"/>
        </w:rPr>
        <w:fldChar w:fldCharType="end"/>
      </w:r>
      <w:bookmarkEnd w:id="14"/>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ماهيت اخلاق كاربردي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گرچه ماهيت اخلاق كاربردي به بررسي عميق‌تر و جداگانه نياز دارد، اما براي تبيين نقش واقع‌گرايي در اخلاق كاربردي، لازم است موضع خود را درباره آن روشن كنيم، چون امكان خلط اين اصطلاح با اصطلاحات ديگر، مانند اخلاق عملي و اخلاق حرفه‌اي وجود دارد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عده‌اي اخلاق هنجاري را به دو قسم كلي (نظري) و عملي تقسيم كرده و اخلاق كاربردي را با اخلاق عملي يكي انگاشته‌اند</w:t>
      </w:r>
      <w:r w:rsidRPr="00286172">
        <w:rPr>
          <w:rFonts w:ascii="Times New Roman" w:eastAsia="Times New Roman" w:hAnsi="Times New Roman" w:cs="B Mitra" w:hint="cs"/>
          <w:color w:val="000000"/>
          <w:sz w:val="24"/>
          <w:szCs w:val="24"/>
        </w:rPr>
        <w:t>.</w:t>
      </w:r>
      <w:bookmarkStart w:id="15" w:name="_ednref13"/>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13</w:t>
      </w:r>
      <w:r w:rsidRPr="00286172">
        <w:rPr>
          <w:rFonts w:ascii="Times New Roman" w:eastAsia="Times New Roman" w:hAnsi="Times New Roman" w:cs="B Mitra"/>
          <w:color w:val="000000"/>
          <w:sz w:val="24"/>
          <w:szCs w:val="24"/>
        </w:rPr>
        <w:fldChar w:fldCharType="end"/>
      </w:r>
      <w:bookmarkEnd w:id="15"/>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اما بايد توجه داشت كه اگر چه اخلاق كاربردي با اخلاق عملي شباهت‌هايي دارد، غير از آن است. اخلاق عملي در مقابل اخلاق نظري دو معنا دارد: يكي، تخلق عملي به اخلاق و ديگري، علم به چگونگي تخلق عملي به اخلاق. روشن است كه معناي اول از سنخ عمل است و با اخلاق كاربردي كه از سنخ دانش است، تفاوت دارد. اخلاق عملي به معناي دوم نيز متفاوت از اخلاق كاربردي است، چون اخلاق كاربردي بر مسائل خاص؛ به ويژه بحث تزاحمات اخلاقي، متمركز است، ولي اخلاق عملي، كلي و عام است</w:t>
      </w:r>
      <w:r w:rsidRPr="00286172">
        <w:rPr>
          <w:rFonts w:ascii="Times New Roman" w:eastAsia="Times New Roman" w:hAnsi="Times New Roman" w:cs="B Mitra" w:hint="cs"/>
          <w:color w:val="000000"/>
          <w:sz w:val="24"/>
          <w:szCs w:val="24"/>
        </w:rPr>
        <w:t>.</w:t>
      </w:r>
      <w:bookmarkStart w:id="16" w:name="_ednref14"/>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14</w:t>
      </w:r>
      <w:r w:rsidRPr="00286172">
        <w:rPr>
          <w:rFonts w:ascii="Times New Roman" w:eastAsia="Times New Roman" w:hAnsi="Times New Roman" w:cs="B Mitra"/>
          <w:color w:val="000000"/>
          <w:sz w:val="24"/>
          <w:szCs w:val="24"/>
        </w:rPr>
        <w:fldChar w:fldCharType="end"/>
      </w:r>
      <w:bookmarkEnd w:id="16"/>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دربارة اخلاق حرفه‌اي نيز اختلافاتي به چشم مي‌خورد؛ برخي آن را مساوي با اخلاق كاربردي انگاشته و برخي آن را شاخه‌اي از اخلاق كاربردي دانسته و با اين انگاره كه اخلاق كاربردي همان اخلاق حرفه‌اي است، مخالفت كرده‌اند</w:t>
      </w:r>
      <w:r w:rsidRPr="00286172">
        <w:rPr>
          <w:rFonts w:ascii="Times New Roman" w:eastAsia="Times New Roman" w:hAnsi="Times New Roman" w:cs="B Mitra" w:hint="cs"/>
          <w:color w:val="000000"/>
          <w:sz w:val="24"/>
          <w:szCs w:val="24"/>
        </w:rPr>
        <w:t>.</w:t>
      </w:r>
      <w:bookmarkStart w:id="17" w:name="_ednref15"/>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15</w:t>
      </w:r>
      <w:r w:rsidRPr="00286172">
        <w:rPr>
          <w:rFonts w:ascii="Times New Roman" w:eastAsia="Times New Roman" w:hAnsi="Times New Roman" w:cs="B Mitra"/>
          <w:color w:val="000000"/>
          <w:sz w:val="24"/>
          <w:szCs w:val="24"/>
        </w:rPr>
        <w:fldChar w:fldCharType="end"/>
      </w:r>
      <w:bookmarkEnd w:id="17"/>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براي روشن شدن امر بايد توجه داشت كه اخلاق حرفه‌اي، تعريف‌هاي متعددي دارد. عده‌اي آن را به معناي اخلاق كار و اخلاق مشاغل به كار مي‌برند. اما تعريف‌هاي ديگر نيز مطرح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lastRenderedPageBreak/>
        <w:t>يكي، شيوه‌هاي رفتاري متداول در ميان اهل يك حرفه</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دوم، مديريت رفتار و كردار آدمي هنگام انجام كارهاي حرفه‌اي</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سوم، رشته‌اي از دانش اخلاق كه روابط شغلي را مطالعه مي‌كند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در همه اين تعريف‌ها، اخلاق حرفه‌اي به مسئوليت‌ها و الزامات اخلاقي فرد در شغل محدود شده است</w:t>
      </w:r>
      <w:r w:rsidRPr="00286172">
        <w:rPr>
          <w:rFonts w:ascii="Times New Roman" w:eastAsia="Times New Roman" w:hAnsi="Times New Roman" w:cs="B Mitra" w:hint="cs"/>
          <w:color w:val="000000"/>
          <w:sz w:val="24"/>
          <w:szCs w:val="24"/>
        </w:rPr>
        <w:t>.</w:t>
      </w:r>
      <w:bookmarkStart w:id="18" w:name="_ednref16"/>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16</w:t>
      </w:r>
      <w:r w:rsidRPr="00286172">
        <w:rPr>
          <w:rFonts w:ascii="Times New Roman" w:eastAsia="Times New Roman" w:hAnsi="Times New Roman" w:cs="B Mitra"/>
          <w:color w:val="000000"/>
          <w:sz w:val="24"/>
          <w:szCs w:val="24"/>
        </w:rPr>
        <w:fldChar w:fldCharType="end"/>
      </w:r>
      <w:bookmarkEnd w:id="18"/>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برخي ديگر، اخلاق حرفه‌اي را به مسئوليت‌هاي اخلاقي بنگاه و سازمان تعريف كرده و آن را جامع‌تر از تعريف سنتي دانسته‌اند، چراكه مسئوليت‌هاي اخلاقي بنگاه، شامل همه اضلاع و ابعاد سازمان و اخلاقيات شغلي نيز مي‌شود. علاوه بر اينكه تعريف فوق، تخصصي بودن اخلاق حرفه‌اي را نيز معلوم مي‌سازد</w:t>
      </w:r>
      <w:r w:rsidRPr="00286172">
        <w:rPr>
          <w:rFonts w:ascii="Times New Roman" w:eastAsia="Times New Roman" w:hAnsi="Times New Roman" w:cs="B Mitra" w:hint="cs"/>
          <w:color w:val="000000"/>
          <w:sz w:val="24"/>
          <w:szCs w:val="24"/>
        </w:rPr>
        <w:t>.</w:t>
      </w:r>
      <w:bookmarkStart w:id="19" w:name="_ednref17"/>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17</w:t>
      </w:r>
      <w:r w:rsidRPr="00286172">
        <w:rPr>
          <w:rFonts w:ascii="Times New Roman" w:eastAsia="Times New Roman" w:hAnsi="Times New Roman" w:cs="B Mitra"/>
          <w:color w:val="000000"/>
          <w:sz w:val="24"/>
          <w:szCs w:val="24"/>
        </w:rPr>
        <w:fldChar w:fldCharType="end"/>
      </w:r>
      <w:bookmarkEnd w:id="19"/>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توجه به تعريف‌هاي يادشده، اين ديدگاه را تقويت مي‌كند كه اخلاق حرفه‌اي غير از اخلاق كاربردي است. مباحث اخلاق كاربردي به مسائل عيني، ناظر بوده و با لحاظ زمينه‌هاي عيني و رهاوردهاي اخلاق نظري به حل آنها مي‌پردازد. اما اخلاق حرفه‌اي، حوزه‌اي تخصصي در اخلاق كاربردي است كه به بيان مسئوليت‌هاي اخلاقي حرفه‌ها و بنگاه‌ها و تحليل مسائل اخلاقي در كسب و كار مي‌پردازد</w:t>
      </w:r>
      <w:r w:rsidRPr="00286172">
        <w:rPr>
          <w:rFonts w:ascii="Times New Roman" w:eastAsia="Times New Roman" w:hAnsi="Times New Roman" w:cs="B Mitra" w:hint="cs"/>
          <w:color w:val="000000"/>
          <w:sz w:val="24"/>
          <w:szCs w:val="24"/>
        </w:rPr>
        <w:t>.</w:t>
      </w:r>
      <w:bookmarkStart w:id="20" w:name="_ednref18"/>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18</w:t>
      </w:r>
      <w:r w:rsidRPr="00286172">
        <w:rPr>
          <w:rFonts w:ascii="Times New Roman" w:eastAsia="Times New Roman" w:hAnsi="Times New Roman" w:cs="B Mitra"/>
          <w:color w:val="000000"/>
          <w:sz w:val="24"/>
          <w:szCs w:val="24"/>
        </w:rPr>
        <w:fldChar w:fldCharType="end"/>
      </w:r>
      <w:bookmarkEnd w:id="20"/>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بنابراين، اخلاق حرفه‌اي، آداب و ويژگي‌هاي افراد حرفه‌اي نيست، بلكه شاخه‌اي از اخلاق كاربردي در قلمرو حرفه است</w:t>
      </w:r>
      <w:r w:rsidRPr="00286172">
        <w:rPr>
          <w:rFonts w:ascii="Times New Roman" w:eastAsia="Times New Roman" w:hAnsi="Times New Roman" w:cs="B Mitra" w:hint="cs"/>
          <w:color w:val="000000"/>
          <w:sz w:val="24"/>
          <w:szCs w:val="24"/>
        </w:rPr>
        <w:t>.</w:t>
      </w:r>
      <w:bookmarkStart w:id="21" w:name="_ednref19"/>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"_edn19"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19</w:t>
      </w:r>
      <w:r w:rsidRPr="00286172">
        <w:rPr>
          <w:rFonts w:ascii="Times New Roman" w:eastAsia="Times New Roman" w:hAnsi="Times New Roman" w:cs="B Mitra"/>
          <w:color w:val="000000"/>
          <w:sz w:val="24"/>
          <w:szCs w:val="24"/>
        </w:rPr>
        <w:fldChar w:fldCharType="end"/>
      </w:r>
      <w:bookmarkEnd w:id="21"/>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حال كه تمايز اخلاق كاربردي از اخلاق عملي و حرفه‌اي روشن شد، مي‌توان تعريف دقيق‌تري از اخلاق كاربردي ارائه داد. بررسي مسائل خاص اخلاق كاربردي، اين نتيجه را در پي دارد كه اخلاق كاربردي در پي تعيين معيار درستي و نادرستي به صورت كلي نيست، بلكه وظيفه خود را تشخيص آن معيار در موارد خاص، مثل قتل ترحمي ‌‌‌مي‌داند. به اين ترتيب، اخلاق كاربردي‌ در واقع، شاخه‌‌‌اي از اخلاق هنجاري خواهد بود</w:t>
      </w:r>
      <w:r w:rsidRPr="00286172">
        <w:rPr>
          <w:rFonts w:ascii="Times New Roman" w:eastAsia="Times New Roman" w:hAnsi="Times New Roman" w:cs="B Mitra" w:hint="cs"/>
          <w:color w:val="000000"/>
          <w:sz w:val="24"/>
          <w:szCs w:val="24"/>
        </w:rPr>
        <w:t>.</w:t>
      </w:r>
      <w:bookmarkStart w:id="22" w:name="_ednref20"/>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20</w:t>
      </w:r>
      <w:r w:rsidRPr="00286172">
        <w:rPr>
          <w:rFonts w:ascii="Times New Roman" w:eastAsia="Times New Roman" w:hAnsi="Times New Roman" w:cs="B Mitra"/>
          <w:color w:val="000000"/>
          <w:sz w:val="24"/>
          <w:szCs w:val="24"/>
        </w:rPr>
        <w:fldChar w:fldCharType="end"/>
      </w:r>
      <w:bookmarkEnd w:id="22"/>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اخلاق هنجاري در پي قواعد عام براي چگونگي عمل است، ولي اخلاق كاربردي در پي دستيابي به قواعدي خاص‌تر از قواعد عام اخلاقي است كه در شرايط ويژه و موضوعات جزئي‌‌‌‌تر، كارايي داشته باشد، هر چند كه‌ به نظريه‌‌هاي عام مطرح در اخلاق هنجاري نيز بي‌توجه نيست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از بررسي مسائل اخلاق كاربردي برخي ديگر از كاركردها و ويژگي‌‌‌‌‌هاي آن روشن مي‌شود، مانند تكيه بر بحران‌‌هاي اخلاقي و معضلات خاص كاربردي و پي‌جويي راه‌حل‌‌هاي عملي براي حل آنها، بررسي مسائل جديد اخلاقي كه‌ در اثر پيشرفت فناوري و علم به وجود آمده‌اند، كشف تازه‌ترين موضوعات عملي و ارائه راه‌حل‌‌هايي براي آنها، تلاش براي ارائه پاسخ‌‌هاي جديد به برخي مسائل چالش‌خيز قديمي،</w:t>
      </w:r>
      <w:bookmarkStart w:id="23" w:name="_ednref21"/>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21</w:t>
      </w:r>
      <w:r w:rsidRPr="00286172">
        <w:rPr>
          <w:rFonts w:ascii="Times New Roman" w:eastAsia="Times New Roman" w:hAnsi="Times New Roman" w:cs="B Mitra"/>
          <w:color w:val="000000"/>
          <w:sz w:val="24"/>
          <w:szCs w:val="24"/>
        </w:rPr>
        <w:fldChar w:fldCharType="end"/>
      </w:r>
      <w:bookmarkEnd w:id="23"/>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كاربردي كردن توصيه‌ها و ارزش‌هاي عام اخلاقي، تقويت بعد عقلاني و استدلالي انسان در امور اخلاقي، مسئله‌محور بودن به جاي موضوع‌محوري، و به كارگيري و تطبيق استدلال‌ها و ارزش‌هاي اخلاقي در موارد جزئي</w:t>
      </w:r>
      <w:r w:rsidRPr="00286172">
        <w:rPr>
          <w:rFonts w:ascii="Times New Roman" w:eastAsia="Times New Roman" w:hAnsi="Times New Roman" w:cs="B Mitra" w:hint="cs"/>
          <w:color w:val="000000"/>
          <w:sz w:val="24"/>
          <w:szCs w:val="24"/>
        </w:rPr>
        <w:t>.</w:t>
      </w:r>
      <w:bookmarkStart w:id="24" w:name="_ednref22"/>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22</w:t>
      </w:r>
      <w:r w:rsidRPr="00286172">
        <w:rPr>
          <w:rFonts w:ascii="Times New Roman" w:eastAsia="Times New Roman" w:hAnsi="Times New Roman" w:cs="B Mitra"/>
          <w:color w:val="000000"/>
          <w:sz w:val="24"/>
          <w:szCs w:val="24"/>
        </w:rPr>
        <w:fldChar w:fldCharType="end"/>
      </w:r>
      <w:bookmarkEnd w:id="24"/>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انديشمندان علاوه بر بيان ويژگي‌هاي اخلاق كاربردي، سعي كرده‌اند تعريف روشني نيز براي آن ذكر كنند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اخلاق كاربردي، كاربست مباني و معيارهاي اخلاقي در عمل است كه مباني ارزش‌داوري اخلاقي، در فرااخلاق، و معيارهاي ارزش‌داوري اخلاقي نيز توسط اخلاق هنجاري ارائه مي‌شوند</w:t>
      </w:r>
      <w:r w:rsidRPr="00286172">
        <w:rPr>
          <w:rFonts w:ascii="Times New Roman" w:eastAsia="Times New Roman" w:hAnsi="Times New Roman" w:cs="B Mitra" w:hint="cs"/>
          <w:color w:val="000000"/>
          <w:sz w:val="24"/>
          <w:szCs w:val="24"/>
        </w:rPr>
        <w:t>.</w:t>
      </w:r>
      <w:bookmarkStart w:id="25" w:name="_ednref23"/>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23</w:t>
      </w:r>
      <w:r w:rsidRPr="00286172">
        <w:rPr>
          <w:rFonts w:ascii="Times New Roman" w:eastAsia="Times New Roman" w:hAnsi="Times New Roman" w:cs="B Mitra"/>
          <w:color w:val="000000"/>
          <w:sz w:val="24"/>
          <w:szCs w:val="24"/>
        </w:rPr>
        <w:fldChar w:fldCharType="end"/>
      </w:r>
      <w:bookmarkEnd w:id="25"/>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به كارگيري نظريه‌اي اخلاقي در يك يا مجموعه‌‌‌اي از مسائل اخلاقي</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كاربرد نظريه‌‌هاي اخلاقي كلي در مسائل اخلاقي با بي‌طرفي در حل اين مسائل</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هرگونه كاربست انتقادي روش‌‌هاي فلسفي براي سنجش تصميمات عملي اخلاقي و رويارويي با مسائل، رفتار‌ها و سياست‌هاي اخلاقي در حرفه‌ها، تكنولوژي، حكومت و</w:t>
      </w:r>
      <w:r w:rsidRPr="00286172">
        <w:rPr>
          <w:rFonts w:ascii="Times New Roman" w:eastAsia="Times New Roman" w:hAnsi="Times New Roman" w:cs="B Mitra" w:hint="cs"/>
          <w:color w:val="000000"/>
          <w:sz w:val="24"/>
          <w:szCs w:val="24"/>
        </w:rPr>
        <w:t xml:space="preserve"> ... .</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كاربست اخلاق يا نظريه اخلاقي قديمي در حيطه‌‌هاي جديد</w:t>
      </w:r>
      <w:r w:rsidRPr="00286172">
        <w:rPr>
          <w:rFonts w:ascii="Times New Roman" w:eastAsia="Times New Roman" w:hAnsi="Times New Roman" w:cs="B Mitra" w:hint="cs"/>
          <w:color w:val="000000"/>
          <w:sz w:val="24"/>
          <w:szCs w:val="24"/>
        </w:rPr>
        <w:t>.</w:t>
      </w:r>
      <w:bookmarkStart w:id="26" w:name="_ednref24"/>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24</w:t>
      </w:r>
      <w:r w:rsidRPr="00286172">
        <w:rPr>
          <w:rFonts w:ascii="Times New Roman" w:eastAsia="Times New Roman" w:hAnsi="Times New Roman" w:cs="B Mitra"/>
          <w:color w:val="000000"/>
          <w:sz w:val="24"/>
          <w:szCs w:val="24"/>
        </w:rPr>
        <w:fldChar w:fldCharType="end"/>
      </w:r>
      <w:bookmarkEnd w:id="26"/>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lastRenderedPageBreak/>
        <w:t>كاربرد و تطبيق استدلال‌ها، اصول، ارزش‌ها و ايد‌ه‌آل‌هاي اخلاقي در مورد رفتار‌هاي اخلاقي فردي و اجتماعي</w:t>
      </w:r>
      <w:r w:rsidRPr="00286172">
        <w:rPr>
          <w:rFonts w:ascii="Times New Roman" w:eastAsia="Times New Roman" w:hAnsi="Times New Roman" w:cs="B Mitra" w:hint="cs"/>
          <w:color w:val="000000"/>
          <w:sz w:val="24"/>
          <w:szCs w:val="24"/>
        </w:rPr>
        <w:t>.</w:t>
      </w:r>
      <w:bookmarkStart w:id="27" w:name="_ednref25"/>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25</w:t>
      </w:r>
      <w:r w:rsidRPr="00286172">
        <w:rPr>
          <w:rFonts w:ascii="Times New Roman" w:eastAsia="Times New Roman" w:hAnsi="Times New Roman" w:cs="B Mitra"/>
          <w:color w:val="000000"/>
          <w:sz w:val="24"/>
          <w:szCs w:val="24"/>
        </w:rPr>
        <w:fldChar w:fldCharType="end"/>
      </w:r>
      <w:bookmarkEnd w:id="27"/>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اخلاق كاربردي تلاشي است براي به كارگيري معيار‌ها و نظريه‌هاي عام اخلاقي براي حل مسائل عملي. ارائه‌دهندگان اين تعريف، نظريه‌ها، استدلال‌‌ها و تحليل‌‌ها را به منزله ابزار‌هايي براي بررسي مسائل اخلاقي قلمداد مي‌‌كنند. ظاهراً اين تعريف به وسيله</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گرت</w:t>
      </w:r>
      <w:bookmarkStart w:id="28" w:name="_ednref26"/>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26</w:t>
      </w:r>
      <w:r w:rsidRPr="00286172">
        <w:rPr>
          <w:rFonts w:ascii="Times New Roman" w:eastAsia="Times New Roman" w:hAnsi="Times New Roman" w:cs="B Mitra"/>
          <w:color w:val="000000"/>
          <w:sz w:val="24"/>
          <w:szCs w:val="24"/>
        </w:rPr>
        <w:fldChar w:fldCharType="end"/>
      </w:r>
      <w:bookmarkEnd w:id="28"/>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پيشنهاد شده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اخلاق كاربردي عبارت است از هر نوع استفاده از روش‌هاي فلسفي براي بحث از مسائل اخلاقي در حرفه‌‌ها، تكنولوژي، حكومت و امثال آن. چنان‌كه ملاحظه مي‌شود، اين تعريف بر حل مسائل اخلاقي به عنوان يك هدف، اصرار ندارد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بررسي و نقد هر يك از اين تعريف‌ها و دستيابي به مباني فرا اخلاقي و لوازم احتمالي هر كدام نيازمند تحقيق ديگري است. بي‌گمان، هر تعريفي كه بر نظريه‌اي صحيح در فرااخلاق مبتني نباشد يا مثلاً به نسبي‌گرايي منجر شود، مردود خواهد بود. همه تعريف‌ها به كاربست نظريه‌هاي اخلاقي در حيطه‌هاي جديد توجه نشان داده‌اند. اگر چنين كاربستي به بازنگري در نظريه‌ها يا اصول اخلاقي منجر شود، روشن مي‌شود كه با ثبات و اطلاق احكام اخلاقي سازگاري ندارد. به عبارت روشن‌تر، تعريف اخلاق كاربردي بايد بر واقع‌گرايي و مطلق‌گرايي مبتني باشد تا بتواند در جهت حل معضلات به ظاهر لاينحل اين رشته، مفيد واقع شود، از اين‌رو، تعريف اول كامل‌تر است، چون به مباني فرا اخلاقي مسئله و معيارهاي كلي مطرح در اخلاق هنجاري توجه نشان داده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با توجه به ويژگي‌ها و تعريف اخلاق كاربردي روشن مي‌شود كه اخلاق كاربردي، ماهيتي ميان‌رشته‌‌‌اي دارد، چون مسئله عمده در اخلاق كاربردي حل تزاحمات است و تزاحمات اخلاقي نيز در زمينه‌‌هاي گوناگون، مثل سياست، اجتماع، هنر، دين و جز آن مطرح است. براي مثال، اخلاق شهروندي، اخلاق مديريت، اخلاق حزبي و اخلاق بين‌الملل از مسائل مطرح در اخلاق كاربردي است كه با عالم سياست نيز مرتبط است. اخلاق جنسيت يا تبعيض نژادي نيز هم با جامعه‌شناسي مرتبط است و هم اخلاق</w:t>
      </w:r>
      <w:r w:rsidRPr="00286172">
        <w:rPr>
          <w:rFonts w:ascii="Times New Roman" w:eastAsia="Times New Roman" w:hAnsi="Times New Roman" w:cs="B Mitra" w:hint="cs"/>
          <w:color w:val="000000"/>
          <w:sz w:val="24"/>
          <w:szCs w:val="24"/>
        </w:rPr>
        <w:t>.</w:t>
      </w:r>
      <w:bookmarkStart w:id="29" w:name="_ednref27"/>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27</w:t>
      </w:r>
      <w:r w:rsidRPr="00286172">
        <w:rPr>
          <w:rFonts w:ascii="Times New Roman" w:eastAsia="Times New Roman" w:hAnsi="Times New Roman" w:cs="B Mitra"/>
          <w:color w:val="000000"/>
          <w:sz w:val="24"/>
          <w:szCs w:val="24"/>
        </w:rPr>
        <w:fldChar w:fldCharType="end"/>
      </w:r>
      <w:bookmarkEnd w:id="29"/>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ماهيت تزاحم</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در كتاب‌هاي اصولي دو اصطلاح «تزاحم» و «تعارض» و در كتاب‌هاي فلسفه اخلاق، علاوه بر آن دو، اصطلاح، «معضل اخلاقي» نيز مطرح شده است. ضروري است تمايز اين واژه‌ها تبيين شود، چراكه اين واژه‌ها در بحث‌هاي اخلاقي، در بسياري از موارد به جاي هم استفاده شده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اصطلاح «معضل اخلاقي» هر نوع مسئله اخلاقي را شامل مي‌شود،</w:t>
      </w:r>
      <w:bookmarkStart w:id="30" w:name="_ednref28"/>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28</w:t>
      </w:r>
      <w:r w:rsidRPr="00286172">
        <w:rPr>
          <w:rFonts w:ascii="Times New Roman" w:eastAsia="Times New Roman" w:hAnsi="Times New Roman" w:cs="B Mitra"/>
          <w:color w:val="000000"/>
          <w:sz w:val="24"/>
          <w:szCs w:val="24"/>
        </w:rPr>
        <w:fldChar w:fldCharType="end"/>
      </w:r>
      <w:bookmarkEnd w:id="30"/>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بنابراين، اصطلاحي عام بوده و «تزاحم» را نيز شامل مي‌شود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اما «تزاحم» و «تعارض» اصولي، در اصلِ تنافي بين دو حكم و امتناع اجتماع آن دو مشترك‌اند، البته در چند امر، قابل تفكيك هستند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يكي، اينكه در «تعارض»، تنافي دو حكم، مستلزم تكاذب بين دليل آن دو است، ولي در «تزاحم» صرف تنافي بين دو حكم كافي است؛ اگر چه تكاذبي بين دليل آن دو نباشد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دوم، اينكه در «تزاحم» هر دو طرف حكم، ملاك دارد، به گونه‌اي كه اگر تزاحم نبود، هر دو حكم، فعليت پيدا مي‌كرد، اما «تعارض» با فرض علم به عدم ثبوت ملاك در يك طرف نيز سازگار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سوم، اينكه «تزاحم»، تنافي در مقام امتثال است، بر خلاف «تعارض» كه تنافي در مقام جعل حكم است</w:t>
      </w:r>
      <w:r w:rsidRPr="00286172">
        <w:rPr>
          <w:rFonts w:ascii="Times New Roman" w:eastAsia="Times New Roman" w:hAnsi="Times New Roman" w:cs="B Mitra" w:hint="cs"/>
          <w:color w:val="000000"/>
          <w:sz w:val="24"/>
          <w:szCs w:val="24"/>
        </w:rPr>
        <w:t>.</w:t>
      </w:r>
      <w:bookmarkStart w:id="31" w:name="_ednref29"/>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"_edn29"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29</w:t>
      </w:r>
      <w:r w:rsidRPr="00286172">
        <w:rPr>
          <w:rFonts w:ascii="Times New Roman" w:eastAsia="Times New Roman" w:hAnsi="Times New Roman" w:cs="B Mitra"/>
          <w:color w:val="000000"/>
          <w:sz w:val="24"/>
          <w:szCs w:val="24"/>
        </w:rPr>
        <w:fldChar w:fldCharType="end"/>
      </w:r>
      <w:bookmarkEnd w:id="31"/>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با اين توضيحات، روشن مي‌شود كه منظور از تزاحم غير از تعارض مطرح در اصول فقه است. تعارض، در مقام جعل و انشا دليل است، ولي تزاحم در اصول فقه عبارت است از: امتناع اجتماع دو حكم در مقام امتثال نه در مقام تشريع</w:t>
      </w:r>
      <w:r w:rsidRPr="00286172">
        <w:rPr>
          <w:rFonts w:ascii="Times New Roman" w:eastAsia="Times New Roman" w:hAnsi="Times New Roman" w:cs="B Mitra" w:hint="cs"/>
          <w:color w:val="000000"/>
          <w:sz w:val="24"/>
          <w:szCs w:val="24"/>
        </w:rPr>
        <w:t>.</w:t>
      </w:r>
      <w:bookmarkStart w:id="32" w:name="_ednref30"/>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30</w:t>
      </w:r>
      <w:r w:rsidRPr="00286172">
        <w:rPr>
          <w:rFonts w:ascii="Times New Roman" w:eastAsia="Times New Roman" w:hAnsi="Times New Roman" w:cs="B Mitra"/>
          <w:color w:val="000000"/>
          <w:sz w:val="24"/>
          <w:szCs w:val="24"/>
        </w:rPr>
        <w:fldChar w:fldCharType="end"/>
      </w:r>
      <w:bookmarkEnd w:id="32"/>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تزاحم مطرح در بحث حاضر تفاوتي با تزاحم در اصول، ندارد. اما به منظور روشن‌شدن بيشتر مطلب ابتدا تعريف‌هاي ذكر شده در كتاب‌هاي فلسفة اخلاق نيز مطرح مي‌شود تا همه قيود آن آشكار شود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Pr>
        <w:lastRenderedPageBreak/>
        <w:t>«</w:t>
      </w:r>
      <w:r w:rsidRPr="00286172">
        <w:rPr>
          <w:rFonts w:ascii="Times New Roman" w:eastAsia="Times New Roman" w:hAnsi="Times New Roman" w:cs="B Mitra" w:hint="cs"/>
          <w:color w:val="000000"/>
          <w:sz w:val="24"/>
          <w:szCs w:val="24"/>
          <w:rtl/>
        </w:rPr>
        <w:t>تعارض [(تزاحم)] اخلاقي عبارت است از رفتاري كه انجامش از جهتي اخلاقاً زشت، و ترك آن نيز از جهت ديگر نارواست. در اين مقام، فرد برخوردار از دغدغه اخلاقي، احساس بلاتكليفي مي‌كند</w:t>
      </w:r>
      <w:r w:rsidRPr="00286172">
        <w:rPr>
          <w:rFonts w:ascii="Times New Roman" w:eastAsia="Times New Roman" w:hAnsi="Times New Roman" w:cs="B Mitra" w:hint="cs"/>
          <w:color w:val="000000"/>
          <w:sz w:val="24"/>
          <w:szCs w:val="24"/>
        </w:rPr>
        <w:t>.»</w:t>
      </w:r>
      <w:bookmarkStart w:id="33" w:name="_ednref31"/>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31</w:t>
      </w:r>
      <w:r w:rsidRPr="00286172">
        <w:rPr>
          <w:rFonts w:ascii="Times New Roman" w:eastAsia="Times New Roman" w:hAnsi="Times New Roman" w:cs="B Mitra"/>
          <w:color w:val="000000"/>
          <w:sz w:val="24"/>
          <w:szCs w:val="24"/>
        </w:rPr>
        <w:fldChar w:fldCharType="end"/>
      </w:r>
      <w:bookmarkEnd w:id="33"/>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براي مثال، گفتن راز ديگران زشت است. همچنين اگر رازداري موجب خيانت به كسي شود، باز هم نارواست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اين تعريف، دقيق نيست، چون تزاحم اخلاقي، رفتار نيست، بلكه وضعيت بغرنجي است كه فرد را دچار حيرت كرده است، علاوه بر اينكه تعريف فوق، جامع نيست. براي مثال، در تزاحم بين نجات دو غريق كه هيچ‌كدام بر ديگري ترجيح ندارند، اين تعريف صادق نيست، چون نجات هيچ</w:t>
      </w:r>
      <w:r w:rsidRPr="00286172">
        <w:rPr>
          <w:rFonts w:ascii="Times New Roman" w:eastAsia="Times New Roman" w:hAnsi="Times New Roman" w:cs="B Mitra" w:hint="cs"/>
          <w:color w:val="000000"/>
          <w:sz w:val="24"/>
          <w:szCs w:val="24"/>
          <w:rtl/>
        </w:rPr>
        <w:softHyphen/>
        <w:t>كدام ناروا و زشت نيست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بنا بر تعريف رايج، تزاحم وضعيتي است كه فاعل در آن ناچار است يكي از چند امر را كه قابل اجتماع نيستند، اختيار كند. عده‌اي از فيلسوفان قيدي را به تعريف اضافه كرد‌ه‌اند مبني بر اينكه تزاحم اخلاقي در صورتي تزاحم شمرده مي‌شود كه‌ ادله اخلاقي متزاحم از نوع الزامات اخلاقي باشند. بنابراين، گزينش از ميان امور مستحب، تزاحم اخلاقي نيست. عده‌اي ديگر از فيلسوفان قابل حل نبودن را به عنوان قيد در تعريف تزاحم اخلاقي آورد‌ه‌اند</w:t>
      </w:r>
      <w:r w:rsidRPr="00286172">
        <w:rPr>
          <w:rFonts w:ascii="Times New Roman" w:eastAsia="Times New Roman" w:hAnsi="Times New Roman" w:cs="B Mitra" w:hint="cs"/>
          <w:color w:val="000000"/>
          <w:sz w:val="24"/>
          <w:szCs w:val="24"/>
        </w:rPr>
        <w:t>.</w:t>
      </w:r>
      <w:bookmarkStart w:id="34" w:name="_ednref32"/>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32</w:t>
      </w:r>
      <w:r w:rsidRPr="00286172">
        <w:rPr>
          <w:rFonts w:ascii="Times New Roman" w:eastAsia="Times New Roman" w:hAnsi="Times New Roman" w:cs="B Mitra"/>
          <w:color w:val="000000"/>
          <w:sz w:val="24"/>
          <w:szCs w:val="24"/>
        </w:rPr>
        <w:fldChar w:fldCharType="end"/>
      </w:r>
      <w:bookmarkEnd w:id="34"/>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بنابراين، اگر يكي از الزامات، حاكم بر ديگري باشد، تزاحم اخلاقي نيست. براي مثال، الزام به حفظ جان ديگران مشرف و حاكم بر خلف يك وعده است. با اضافه كردن همه اين قيود مي‌توان به چنين تعريفي دست يافت: تزاحم اخلاقي عبارت است از تعارضات غير قابل حل ميان الزامات اخلاقي</w:t>
      </w:r>
      <w:r w:rsidRPr="00286172">
        <w:rPr>
          <w:rFonts w:ascii="Times New Roman" w:eastAsia="Times New Roman" w:hAnsi="Times New Roman" w:cs="B Mitra" w:hint="cs"/>
          <w:color w:val="000000"/>
          <w:sz w:val="24"/>
          <w:szCs w:val="24"/>
        </w:rPr>
        <w:t>.</w:t>
      </w:r>
      <w:bookmarkStart w:id="35" w:name="_ednref33"/>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33</w:t>
      </w:r>
      <w:r w:rsidRPr="00286172">
        <w:rPr>
          <w:rFonts w:ascii="Times New Roman" w:eastAsia="Times New Roman" w:hAnsi="Times New Roman" w:cs="B Mitra"/>
          <w:color w:val="000000"/>
          <w:sz w:val="24"/>
          <w:szCs w:val="24"/>
        </w:rPr>
        <w:fldChar w:fldCharType="end"/>
      </w:r>
      <w:bookmarkEnd w:id="35"/>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دو تعريف ديگر نيز نزديك به تعريف رايج ارائه شده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يكي، اينكه تزاحم، يعني دو يا چند اصل در موقعيت خاص بتوانند به كار برده شوند؛ يعني دو الزام متفاوت كه هر دو را نمي‌توان انجام داد</w:t>
      </w:r>
      <w:r w:rsidRPr="00286172">
        <w:rPr>
          <w:rFonts w:ascii="Times New Roman" w:eastAsia="Times New Roman" w:hAnsi="Times New Roman" w:cs="B Mitra" w:hint="cs"/>
          <w:color w:val="000000"/>
          <w:sz w:val="24"/>
          <w:szCs w:val="24"/>
        </w:rPr>
        <w:t>.</w:t>
      </w:r>
      <w:bookmarkStart w:id="36" w:name="_ednref34"/>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34</w:t>
      </w:r>
      <w:r w:rsidRPr="00286172">
        <w:rPr>
          <w:rFonts w:ascii="Times New Roman" w:eastAsia="Times New Roman" w:hAnsi="Times New Roman" w:cs="B Mitra"/>
          <w:color w:val="000000"/>
          <w:sz w:val="24"/>
          <w:szCs w:val="24"/>
        </w:rPr>
        <w:fldChar w:fldCharType="end"/>
      </w:r>
      <w:bookmarkEnd w:id="36"/>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دوم، اينكه تزاحم دو عمل، يعني اطاعت از يكي مستلزم سرپيچي از ديگري باشد</w:t>
      </w:r>
      <w:r w:rsidRPr="00286172">
        <w:rPr>
          <w:rFonts w:ascii="Times New Roman" w:eastAsia="Times New Roman" w:hAnsi="Times New Roman" w:cs="B Mitra" w:hint="cs"/>
          <w:color w:val="000000"/>
          <w:sz w:val="24"/>
          <w:szCs w:val="24"/>
        </w:rPr>
        <w:t>.</w:t>
      </w:r>
      <w:bookmarkStart w:id="37" w:name="_ednref35"/>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35</w:t>
      </w:r>
      <w:r w:rsidRPr="00286172">
        <w:rPr>
          <w:rFonts w:ascii="Times New Roman" w:eastAsia="Times New Roman" w:hAnsi="Times New Roman" w:cs="B Mitra"/>
          <w:color w:val="000000"/>
          <w:sz w:val="24"/>
          <w:szCs w:val="24"/>
        </w:rPr>
        <w:fldChar w:fldCharType="end"/>
      </w:r>
      <w:bookmarkEnd w:id="37"/>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حال با توجه به اين تعريف‌ها مي‌توان قيدهاي تزاحم را به شرح زير بيان كرد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اولاً: تزاحم بين دو اصل كلي اخلاقي مطرح مي‌شود</w:t>
      </w:r>
      <w:r w:rsidRPr="00286172">
        <w:rPr>
          <w:rFonts w:ascii="Times New Roman" w:eastAsia="Times New Roman" w:hAnsi="Times New Roman" w:cs="B Mitra" w:hint="cs"/>
          <w:color w:val="000000"/>
          <w:sz w:val="24"/>
          <w:szCs w:val="24"/>
        </w:rPr>
        <w:t>.</w:t>
      </w:r>
      <w:bookmarkStart w:id="38" w:name="_ednref36"/>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36</w:t>
      </w:r>
      <w:r w:rsidRPr="00286172">
        <w:rPr>
          <w:rFonts w:ascii="Times New Roman" w:eastAsia="Times New Roman" w:hAnsi="Times New Roman" w:cs="B Mitra"/>
          <w:color w:val="000000"/>
          <w:sz w:val="24"/>
          <w:szCs w:val="24"/>
        </w:rPr>
        <w:fldChar w:fldCharType="end"/>
      </w:r>
      <w:bookmarkEnd w:id="38"/>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ثانياً: بين مدلول دو اصل تعارض وجود ندارد؛ اگر دو اصل اخلاقي با هم تعارض داشته باشند، تزاحم بين آن دو رخ نخواهد داد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ثالثاً: در مرحله اجراي دو اصل، يكي مانع اجراي ديگر مي‌شود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رابعاً: در تزاحم، هر دو طرف حكم، قطعي و يقيني است؛ يعني هر دو حكم اخلاقاً بر مكلف، منجَّز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خامساً: مكلف ناچار است كه يكي از ‌‌‌آن دو را انجام دهد وگرنه چنانچه حكم اخلاقي در حد لزوم نبود، مكلف مي‌تواند هر دو را ترك كند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سادساً: امكان جمع بين آنها وجود نداشته باشد، از اين‌رو، اگر دو فعل وجود دارد كه هر دو قابل جمع است، تزاحمي بين آنها نيست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سابعاً: تزاحمي‌ كه در اينجا مطرح است، بين دو مقتضي و ملاك است كه به فاعل مربوط مي‌شود؛</w:t>
      </w:r>
      <w:bookmarkStart w:id="39" w:name="_ednref37"/>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37</w:t>
      </w:r>
      <w:r w:rsidRPr="00286172">
        <w:rPr>
          <w:rFonts w:ascii="Times New Roman" w:eastAsia="Times New Roman" w:hAnsi="Times New Roman" w:cs="B Mitra"/>
          <w:color w:val="000000"/>
          <w:sz w:val="24"/>
          <w:szCs w:val="24"/>
        </w:rPr>
        <w:fldChar w:fldCharType="end"/>
      </w:r>
      <w:bookmarkEnd w:id="39"/>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يعني در هر دو طرف، ملاك و مناط وجود دارد، ولي مكلف نمي‌تواند بين آنها جمع كند</w:t>
      </w:r>
      <w:r w:rsidRPr="00286172">
        <w:rPr>
          <w:rFonts w:ascii="Times New Roman" w:eastAsia="Times New Roman" w:hAnsi="Times New Roman" w:cs="B Mitra" w:hint="cs"/>
          <w:color w:val="000000"/>
          <w:sz w:val="24"/>
          <w:szCs w:val="24"/>
        </w:rPr>
        <w:t>.</w:t>
      </w:r>
      <w:bookmarkStart w:id="40" w:name="_ednref38"/>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38</w:t>
      </w:r>
      <w:r w:rsidRPr="00286172">
        <w:rPr>
          <w:rFonts w:ascii="Times New Roman" w:eastAsia="Times New Roman" w:hAnsi="Times New Roman" w:cs="B Mitra"/>
          <w:color w:val="000000"/>
          <w:sz w:val="24"/>
          <w:szCs w:val="24"/>
        </w:rPr>
        <w:fldChar w:fldCharType="end"/>
      </w:r>
      <w:bookmarkEnd w:id="40"/>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اكنون مي‌توان تعريفي را ارائه كرد كه در بردارندة تمام قيود فوق باشد: تزاحم عبارت است از: تنافي دو حكم لازم‌الاجرا و داراي ملاك در مقام امتثال، به سبب عدم توانايي مكلف براي انجام هر دو در زمان واحد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رابطة واقع‌گرا‌يي با تزاحمات اخلاقي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lastRenderedPageBreak/>
        <w:t>واقع‌گرايي از چند جهت با تزاحمات اخلاقي مرتبط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اولاً: وجود تزاحمات واقعي بر پذيرش واقع‌گرايي مبتني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ثانياً: حل آنها بدون واقع‌گرايي و لحاظ منشأ واقعي براي احكام اخلاقي امكان‌پذير نيست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ثالثاً: معيار حل مسائل اخلاق كاربردي و تزاحمات، ويژگي‌هايي دارد كه تنها در معيار مبتني بر واقع‌گرايي يافت مي‌شود؛ يعني ناواقع</w:t>
      </w:r>
      <w:r w:rsidRPr="00286172">
        <w:rPr>
          <w:rFonts w:ascii="Times New Roman" w:eastAsia="Times New Roman" w:hAnsi="Times New Roman" w:cs="B Mitra" w:hint="cs"/>
          <w:color w:val="000000"/>
          <w:sz w:val="24"/>
          <w:szCs w:val="24"/>
          <w:rtl/>
        </w:rPr>
        <w:softHyphen/>
        <w:t>گرايان نمي‌توانند معياري را ارائه دهند كه همه اين خصوصيات را داشته باشد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اين سه امر به ترتيب بررسي مي‌شود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مبتني بودن وجود تزاحمات واقعي بر واقع‌گرايي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اولين ارتباطي كه مي‌توان بين واقع‌گرايي و تزاحمات اخلاقي، تصور كرد، اين است كه وجود تزاحم واقعي بر پذيرش واقع‌گرايي در فرا اخلاق متوقف است. توجه به قيودي كه در تعريف تزاحم مطرح شد و نيز برخي از لوازم واقع‌گرايي، چنين نتيجه‌اي را در پي دارد. از يك‌سو، در تزاحم واقعي هر دو طرف دارايِ ملاك، صادق و مطابق با واقع است. از سوي ديگر، تزاحم واقعي در يك نظام اخلاقي صحيح و هماهنگ اتفاق مي‌افتد. وقتي سخن از نظام اخلاقي به ميان مي‌آيد؛ يعني مجموعه‌اي وجود دارد كه به هم پيوسته است و اصول و قواعد كلي و مطلق دارد و هدفي مشخص را پيگيري مي‌كند. در يك نظام اخلاقي، گزاره‌ها يا صادق‌اند يا كاذب. به عبارت ديگر، يك نظام متقن اخلاقي، گزاره‌هايي دارد كه قابليت صدق و كذب را دارند. امكان وجود چنين نظامي تنها در سايه واقع‌گرايي ميسر مي‌شود، چراكه حقايق اخلاقي در واقع‌گرايي، وجود دارند و درستي يا نادرستي جمله‌هاي اخلاقي به سبب تطابقشان با حقايق اخلاقي است. پس تنها يك نظام اخلاقي درست وجود دارد كه ترسيم‌كننده و مجسم‌كننده اين حقايق اخلاقي است</w:t>
      </w:r>
      <w:r w:rsidRPr="00286172">
        <w:rPr>
          <w:rFonts w:ascii="Times New Roman" w:eastAsia="Times New Roman" w:hAnsi="Times New Roman" w:cs="B Mitra" w:hint="cs"/>
          <w:color w:val="000000"/>
          <w:sz w:val="24"/>
          <w:szCs w:val="24"/>
        </w:rPr>
        <w:t>.</w:t>
      </w:r>
      <w:bookmarkStart w:id="41" w:name="_ednref39"/>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"_edn39"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39</w:t>
      </w:r>
      <w:r w:rsidRPr="00286172">
        <w:rPr>
          <w:rFonts w:ascii="Times New Roman" w:eastAsia="Times New Roman" w:hAnsi="Times New Roman" w:cs="B Mitra"/>
          <w:color w:val="000000"/>
          <w:sz w:val="24"/>
          <w:szCs w:val="24"/>
        </w:rPr>
        <w:fldChar w:fldCharType="end"/>
      </w:r>
      <w:bookmarkEnd w:id="41"/>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بر اساس واقع‌گرايي وقتي گزاره‌‌‌هاي اخلاقي تزاحم مي‌كنند، تنها يك گزاره مي‌تواند صحيح باشد. از اين‌رو، صدق و كذب معنا داشته و واقعيات غير‌اخلاقي متناسب با ارزيابي ارزش صدق جملات اخلاقي است</w:t>
      </w:r>
      <w:r w:rsidRPr="00286172">
        <w:rPr>
          <w:rFonts w:ascii="Times New Roman" w:eastAsia="Times New Roman" w:hAnsi="Times New Roman" w:cs="B Mitra" w:hint="cs"/>
          <w:color w:val="000000"/>
          <w:sz w:val="24"/>
          <w:szCs w:val="24"/>
        </w:rPr>
        <w:t>.</w:t>
      </w:r>
      <w:bookmarkStart w:id="42" w:name="_ednref40"/>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40</w:t>
      </w:r>
      <w:r w:rsidRPr="00286172">
        <w:rPr>
          <w:rFonts w:ascii="Times New Roman" w:eastAsia="Times New Roman" w:hAnsi="Times New Roman" w:cs="B Mitra"/>
          <w:color w:val="000000"/>
          <w:sz w:val="24"/>
          <w:szCs w:val="24"/>
        </w:rPr>
        <w:fldChar w:fldCharType="end"/>
      </w:r>
      <w:bookmarkEnd w:id="42"/>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بنابراين، در نظام مبتني بر واقع‌گرايي از ميان داوري‌هاي متعارض درباره موضوعي خاص، تنها يكي درست و قابل قبول بوده</w:t>
      </w:r>
      <w:bookmarkStart w:id="43" w:name="_ednref41"/>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41</w:t>
      </w:r>
      <w:r w:rsidRPr="00286172">
        <w:rPr>
          <w:rFonts w:ascii="Times New Roman" w:eastAsia="Times New Roman" w:hAnsi="Times New Roman" w:cs="B Mitra"/>
          <w:color w:val="000000"/>
          <w:sz w:val="24"/>
          <w:szCs w:val="24"/>
        </w:rPr>
        <w:fldChar w:fldCharType="end"/>
      </w:r>
      <w:bookmarkEnd w:id="43"/>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و درست و نادرست معنا دارد و هدفي خاص پيگيري مي‌شود. بديهي است كه در چنين نظامي افعال زيادي درست هستند؛ يعني انسان را به آن هدف مي‌رسانند. در چنين حالتي ممكن است وضعيتي پيش آيد كه فاعل در يك زمان ناچار باشد دو فعل صحيح را انجام دهد، اما مكلف قادر نيست دو فعل درست را در يك زمان انجام دهد. بنابراين، بين آن دو فعل، تزاحم به وجود مي‌آيد. بنا بر واقع‌گرايي براي سؤال‌هاي اخلاقي، جواب‌‌هاي درستي مطابق با واقعيت‌‌هاي عيني اخلاقي وجود دارد؛ حقايقي كه اوضاع و احوال آنها را معين و معلوم مي‌كنند، از اين‌رو، وقتي سخن از درستي و نادرستي به ميان آمد، سخن از درست‌تر و نادرست‌تر هم به ميان خواهد آمد. به بيان ديگر، اگر درستي و نادرستي معنا نداشته باشد درست‌تر و نادرست‌تر نيز معنا نخواهد داشت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به ديگر سخن، بنا بر واقع‌گرايي، خير انساني و معيار درستي يك عمل در خودشناسي و جهان‌شناسي انسان ريشه دارد. به همين سبب است كه ما را قادر مي‌سازد كه بگوييم كدام فعل متناسب با سرشت انساني و كمال نهايي، و كدام يك ناسازگار با آن است. تنها در چنين وضعيتي است كه تزاحم قابل تصور است، چراكه ممكن است دو فعل وجود داشته باشد كه سازگار با سرشت انساني و كمال نهايي هستند. در اين حالت، قاعدتاً هر دو فعل را بايد انجام دهيم، اما اگر از انجام آن دو عاجز باشيم بين آن دو تزاحم واقع مي‌شود، ولي اگر چنين نظامي وجود نداشته باشد كه براي افعال انساني غايتي لحاظ كرده باشد، تزاحم معنا نخواهد داشت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امكان حل تزاحمات اخلاقي با توجه به واقع‌گرايي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حل تزاحمات اخلاقي نيازمند داشتن مبنايي عقلاني و منطقي است. يكي از مهم‌ترين مباني، مسئله واقع‌گرايي است. بدون لحاظ واقع‌گرايي، حل تزاحمات واقعي با مشكلات جدي روبه‌رو خواهد شد. براي روشن شدن مطلب توجه به چند نكته ضروري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lastRenderedPageBreak/>
        <w:t>يكي، اينكه سؤال مطرح در موارد تزاحم كه ملاك در هر دو طرف وجود دارد با سؤال مطرح در درستي و نادرستي يك فعل تفاوتي ندارد؛ در هر دو مورد، سؤال اين است كه فاعل چه بايد بكند؟ بنابراين، هر معياري كه در درستي و نادرستي يك فعل مطرح باشد، در مورد تزاحم نيز مطرح خواهد بود، در غير اين صورت، فعلِ انجام شده در مقام تزاحم، فاقد معيار فعل اخلاقي خواهد بود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دوم، اينكه از لحاظ نظري تنها يك راه براي حل تزاحمات اخلاقي وجود دارد و آن اينكه بايد هدف و غايتي را براي رفتار انساني كشف كرده و هر عملي را كه به تحقق آن هدف ياري مي‌رساند، درست فرض كنيم. بنابراين، نوعي هدف بايد مطرح باشد تا فاعل بر اساس آن عمل كند</w:t>
      </w:r>
      <w:r w:rsidRPr="00286172">
        <w:rPr>
          <w:rFonts w:ascii="Times New Roman" w:eastAsia="Times New Roman" w:hAnsi="Times New Roman" w:cs="B Mitra" w:hint="cs"/>
          <w:color w:val="000000"/>
          <w:sz w:val="24"/>
          <w:szCs w:val="24"/>
        </w:rPr>
        <w:t>.</w:t>
      </w:r>
      <w:bookmarkStart w:id="44" w:name="_ednref42"/>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42</w:t>
      </w:r>
      <w:r w:rsidRPr="00286172">
        <w:rPr>
          <w:rFonts w:ascii="Times New Roman" w:eastAsia="Times New Roman" w:hAnsi="Times New Roman" w:cs="B Mitra"/>
          <w:color w:val="000000"/>
          <w:sz w:val="24"/>
          <w:szCs w:val="24"/>
        </w:rPr>
        <w:fldChar w:fldCharType="end"/>
      </w:r>
      <w:bookmarkEnd w:id="44"/>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از همين‌روست كه مكاتبي مانند مكتب</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كانت</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color w:val="000000"/>
          <w:sz w:val="24"/>
          <w:szCs w:val="24"/>
          <w:rtl/>
        </w:rPr>
        <w:t>كه وظيفه‌گرا بوده و در درستي افعال غايتي را لحاظ نمي‌كنند، قادر نيستند براي تزاحمات، چاره‌اي بينديشند،</w:t>
      </w:r>
      <w:bookmarkStart w:id="45" w:name="_ednref43"/>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43</w:t>
      </w:r>
      <w:r w:rsidRPr="00286172">
        <w:rPr>
          <w:rFonts w:ascii="Times New Roman" w:eastAsia="Times New Roman" w:hAnsi="Times New Roman" w:cs="B Mitra"/>
          <w:color w:val="000000"/>
          <w:sz w:val="24"/>
          <w:szCs w:val="24"/>
        </w:rPr>
        <w:fldChar w:fldCharType="end"/>
      </w:r>
      <w:bookmarkEnd w:id="45"/>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چون حل تزاحم به اين است كه يك طرف، ترجيح داده شود. بنابراين، بايد چيزي وجود داشته باشد كه ملاك صحت را با آن سنجيده و بگوييم نسبت به آن امر، ملاك در يك طرف قوي‌تر از طرف ديگر است. اگر ملاك صحت فعل، مطابقت با وظيفه باشد، امر اين ملاك، دائر مدار وجود و عدم است. چنين ملاكي نمي‌تواند در يك طرف، اقوي و اولي باشد. بنابراين، چاره‌اي نيست جز اينكه غايتي را لحاظ كنيم. ارائه چنين راهي در پرتو واقع‌گرايي ميسر مي‌شود، چراكه بنا بر تفسير مورد قبول از واقع‌گرايي، مفاهيم ارزشي از روابطي ضروري و علي بين افعال اختياري و نتايجشان حكايت مي‌كند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نكته سوم، اينكه هدف در واقع‌گرايي مورد قبول، عبارت است از دستيابي به كمال نهايي و قرب الهي؛ يعني عمل انسان، تنها و تنها اگر به تحقق اين هدف كمك كند، درست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نكته ديگر اين است كه كاري كه عقل در داوري و ارزش‌گذاري خود بايد انجام دهد، كشف رابطه ضروري فعل و نتايج آن و تطبيق مفاهيم اعتباري بر مفاهيم حقيقي است. اين داوري نيز با توجه به واقع‌گرايي صورت مي‌گيرد، چراكه اگر امور واقعي در اين داوري لحاظ نشود، مفهوم عدالت را مثلاً يا بايد بر واقع عدالت، صادق ندانيم و يا بر ساير واقعيات هم به طور يكسان صادق بدانيم، چون بنا به فرض، هيچ رابطه واقعي ميان مفهوم اعتباري ذهني عدالت و واقعيت خارجي، وجود ندارد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حال با توجه به اين نكته‌ها بايد بگوييم كه در حل تزاحمات نيز كشف رابطه ضروري بين فعل و نتايجش كارگشا خواهد بود، با اين تفاوت كه بعد از كشف رابطه هر دو فعل متزاحم با نتايجشان، با مقايسه آن دو هر فعلي را كه زمينه بيشتري براي قرب الهي فراهم مي‌آورد، مقدم مي‌كنيم، چراكه فعل اختياري انسان بر اساس واقع‌گرايي مورد قبول ارزش اخلاقي، تابع تأثيري است كه اين فعل در رسيدن انسان به كمال حقيقي دارد</w:t>
      </w:r>
      <w:r w:rsidRPr="00286172">
        <w:rPr>
          <w:rFonts w:ascii="Times New Roman" w:eastAsia="Times New Roman" w:hAnsi="Times New Roman" w:cs="B Mitra" w:hint="cs"/>
          <w:color w:val="000000"/>
          <w:sz w:val="24"/>
          <w:szCs w:val="24"/>
        </w:rPr>
        <w:t>.</w:t>
      </w:r>
      <w:bookmarkStart w:id="46" w:name="_ednref44"/>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44</w:t>
      </w:r>
      <w:r w:rsidRPr="00286172">
        <w:rPr>
          <w:rFonts w:ascii="Times New Roman" w:eastAsia="Times New Roman" w:hAnsi="Times New Roman" w:cs="B Mitra"/>
          <w:color w:val="000000"/>
          <w:sz w:val="24"/>
          <w:szCs w:val="24"/>
        </w:rPr>
        <w:fldChar w:fldCharType="end"/>
      </w:r>
      <w:bookmarkEnd w:id="46"/>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هر كاري به انداز‌‌ه‌اي كه در آن كمال مؤثر باشد، ارزنده خواهد بود. بنابراين، در تزاحمات هر كاري كه بيشترين تأثير را در بالاترين كمال انسان، يعني قرب الهي داشته باشد، عالي‌ترين ارزش اخلاقي را خواهد داشت؛ يعني كاري كه موجب تقرب بيشتري شود، ارزش بيشتري داشته و مقدم است. گرچه نيت انسان نيز بايد در اين امر لحاظ شود؛ يعني هم بايد فعل، با كمال نفس سنخيت، داشته باشد و هم نيت شخص، نيت الهي باشد تا فعل، فعلي اخلاقي محسوب شود. اينها همه به اين دليل است كه ما بر اساس واقع‌گرايي يك خصيصه واقعي را به عنوان معيار صحت فعل اتخاذ كرده‌ايم. بنابراين، هر فعلي كه آن خصيصه را دارد، بر فعلي كه آن خصيصه را ندارد و يا كمتر دارد، رجحان دارد. به عبارت ديگر، وقتي مي‌گوييم فلان چيز خوب است، معنايش اين است كه آن شيء، خصوصيت واقعي اخلاقي دارد. چگونگي ارتباط آن خصوصيت با رفتار ما به اين شكل است كه آن خصوصيت، با كمال واقعي انسان تناسب دارد؛ يعني مي‌تواند ما را به كمال خويش برساند. بنابراين، در مقام تزاحم هر كدام كه تناسب بيشتري داشته باشد، مقدم خواهد بود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نتيجه اينكه وقتي مي‌گوييم فلان عمل خوب است؛ بدين معناست كه ميان آن عمل و رسيدن به هدف، يعني قرب، رابطه عليت برقرار است. در حل تزاحم نيز وقتي مي‌گوييم فلان عمل اهم و اولي است؛ معنايش اين است كه انسان را بيش از فعل ديگر، به آن هدف مي‌رساند. حصول چنين نتيجه‌اي بدون لحاظ واقع‌گرايي ميسر نيست، چنان‌كه در بحث ناواقع‌گرايي روشن‌تر خواهد شد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وجود ويژگي‌هاي معيار صحيح</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معيار صحيح در حل مسائل اخلاق كاربردي، ويژگي‌هايي دارد. اين ويژگي‌ها به عنوان يك مجموعه، تنها بنا بر واقع‌گرايي محقق مي‌شود</w:t>
      </w:r>
      <w:r w:rsidRPr="00286172">
        <w:rPr>
          <w:rFonts w:ascii="Times New Roman" w:eastAsia="Times New Roman" w:hAnsi="Times New Roman" w:cs="B Mitra" w:hint="cs"/>
          <w:color w:val="000000"/>
          <w:sz w:val="24"/>
          <w:szCs w:val="24"/>
        </w:rPr>
        <w:t>.</w:t>
      </w:r>
      <w:bookmarkStart w:id="47" w:name="_ednref45"/>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45</w:t>
      </w:r>
      <w:r w:rsidRPr="00286172">
        <w:rPr>
          <w:rFonts w:ascii="Times New Roman" w:eastAsia="Times New Roman" w:hAnsi="Times New Roman" w:cs="B Mitra"/>
          <w:color w:val="000000"/>
          <w:sz w:val="24"/>
          <w:szCs w:val="24"/>
        </w:rPr>
        <w:fldChar w:fldCharType="end"/>
      </w:r>
      <w:bookmarkEnd w:id="47"/>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بنابراين، معياري بايد ارائه شود كه در چارچوب واقع‌گرايي باشد. حال به بررسي تك تك آنها پرداخته تا نشان دهيم تنها، معيار مبتني بر واقع‌گرايي چنين ويژگي‌هايي دارد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lastRenderedPageBreak/>
        <w:t>مشكك بودن، يكي از ويژگي‌هاي مهم است، چون حل تزاحم به اين است كه يك طرف متزاحم از ملاك عمل، بهره افزون‌تري داشته باشد. اين امر مستلزم آن است كه ملاك ارائه شده لزوماً بايد امري باشد كه داراي مراتب بوده و مشكك باشد وگرنه حل تزاحمات به سرانجام نخواهد رسيد. اين ويژگي تنها در واقعيات محقق است. در امور اعتباري و انشائيات تشكيك، معنا ندارد. اگر گزاره «راست‌گويي خوب است»، تنها از سليقه يا قرارداد و امثال آن حكايت داشته باشد و معيار درستي فعل، سليقه يا احساس شخصي يا مطابقت با قرارداد باشد، اين امور دائرمدار بين نفي و اثبات بوده و قابل تشكيك نيستند. در معياري كه براي حل تزاحمات ارائه شد؛ يعني بيشترين تناسب با قرب الهي، اين ويژگي وجود دارد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ابتناي بر جهان‌بيني صحيح از ديگر ويژگي‌هاست؛ بدين معنا كه تصميم اخلاقي نمي‌تواند در خلأ اتفاق بيفتد، بلكه ناشي از جهان‌بيني فرد است</w:t>
      </w:r>
      <w:r w:rsidRPr="00286172">
        <w:rPr>
          <w:rFonts w:ascii="Times New Roman" w:eastAsia="Times New Roman" w:hAnsi="Times New Roman" w:cs="B Mitra" w:hint="cs"/>
          <w:color w:val="000000"/>
          <w:sz w:val="24"/>
          <w:szCs w:val="24"/>
        </w:rPr>
        <w:t>.</w:t>
      </w:r>
      <w:bookmarkStart w:id="48" w:name="_ednref46"/>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46</w:t>
      </w:r>
      <w:r w:rsidRPr="00286172">
        <w:rPr>
          <w:rFonts w:ascii="Times New Roman" w:eastAsia="Times New Roman" w:hAnsi="Times New Roman" w:cs="B Mitra"/>
          <w:color w:val="000000"/>
          <w:sz w:val="24"/>
          <w:szCs w:val="24"/>
        </w:rPr>
        <w:fldChar w:fldCharType="end"/>
      </w:r>
      <w:bookmarkEnd w:id="48"/>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جهان‌بيني هر فرد اهداف، معيار‌هاي سنجش و توجيهات لازم را براي اقدامات او مشخص و فراهم مي‌كند، حتي در فرآيند ادراك او از درست و نادرست تأثير مي‌گذارد. جهان‌بيني، يك بناي ذهني و دروني است كه از طريق آن مي‌توان واقعيات را بهتر مشاهده كرد و در نتيجه، تصميم درست يا درست‌تري گرفت. اين ويژگي نيز يقيناً در واقع‌گرايي مي‌تواند مطرح باشد. در ناواقع‌گرايي كه گزاره‌هاي اخلاقي با واقع، ارتباطي ندارند، نمي‌توان چنين ويژگي‌اي را مطرح كرد. طبق واقع‌گرايي مي‌توان گفت كه عقل به مسائل مربوط به جهان‌بيني رفتار‌‌‌هاي اختياري پرداخته و از اين لحاظ، زمينه براي درك و دريافت بايد‌‌‌ها و نبايد‌‌‌ها فراهم مي‌شود، چراكه ارزش‌ها و بايدها و نبايدها به نوع جهان‌بيني، وابسته است. بنابراين، همان‌گونه كه هست‌ها، واقعي هستند، ارزش‌ها نيز حقيقي خواهند بود، نه اعتباري، چراكه وقتي عقل واقعيات را درك كرد، به طور ضروري بايد‌‌‌ها و نبايدهايي شكل مي‌گيرند كه از رابطه ضروري بين فعل و نتايج آن، حكايت دارد</w:t>
      </w:r>
      <w:r w:rsidRPr="00286172">
        <w:rPr>
          <w:rFonts w:ascii="Times New Roman" w:eastAsia="Times New Roman" w:hAnsi="Times New Roman" w:cs="B Mitra" w:hint="cs"/>
          <w:color w:val="000000"/>
          <w:sz w:val="24"/>
          <w:szCs w:val="24"/>
        </w:rPr>
        <w:t>.</w:t>
      </w:r>
      <w:bookmarkStart w:id="49" w:name="_ednref47"/>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47</w:t>
      </w:r>
      <w:r w:rsidRPr="00286172">
        <w:rPr>
          <w:rFonts w:ascii="Times New Roman" w:eastAsia="Times New Roman" w:hAnsi="Times New Roman" w:cs="B Mitra"/>
          <w:color w:val="000000"/>
          <w:sz w:val="24"/>
          <w:szCs w:val="24"/>
        </w:rPr>
        <w:fldChar w:fldCharType="end"/>
      </w:r>
      <w:bookmarkEnd w:id="49"/>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ويژگي ديگر معيار صحيح، جامعيت است. مقصود از جامعيت اين است كه به همه ابعاد وجودي انسان، به خير دروني و بيروني او و ... توجه كامل داشته باشد. توجه به بعد فردي يا فقط به بعد اجتماعي و يا هر بعد خاص ديگر و لحاظ نكردن همه ابعاد، معيار ترجيح و داوري اخلاقي را در حل تزاحمات اخلاقي، ناكارآمد و ناتوان مي‌سازد. حل تزاحم با مقدم كردن جانب اهم ميسر مي‌شود. اگر معيار حل تزاحم، جامع نباشد، چه بسا اهم واقعي شناخته نشده و مهم به عنوان اهم تلقّي مي‌شود. لحاظ ابعاد وجودي انسان به معناي توجه به ويژگي‌ها و اهداف واقعي او و هدف خلقت است. بدون داشتن نظريه‌هاي اخلاقي درست كه در سايه واقع‌گرايي حاصل مي‌شود، ارائه چنين معياري ممكن نيست. فيلسوف بايد اساس مشتركي براي واقعيات خارجي و قوانين اخلاقي بيابد تا بتواند با كشف رابطه واقعيات و اخلاق به چنين معياري دست يابد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يكي ديگر از ويژگي‌ها اين است كه معيار بايد توجيه‌كننده اختلافات باشد. معيار بايد به گونه‌اي باشد كه بتوان بر اساس آن درباره درستي يا نادرستي و خوب و خوب‌تر بودن چيزي اختلاف كرد. اگر معيار به گونه‌اي باشد كه خوبي و بدي افعال با توجه به آن معيار مساوي باشد، آن معيار نادرست يا دست‌كم بي‌فايده خواهد بود. در مباحث گذشته نشان داديم كه وجود اختلافات و تزاحمات اخلاقي بر واقع‌گرايي مبتني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بدين ترتيب، روشن مي‌شود كه همه اين ويژگي‌ها در مكتب واقع‌گرايي حاصل مي‌شود و دست‌كم برخي از اين ويژگي‌ها در ناواقع‌گرايي قابل تصور نيست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تبيين ناواقع‌گرايي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بنا بر ناواقع‌گرايي، حقايق اخلاقي مستقل از آگاهي‌ها، باورها، گرايش‌ها و اميال انسان وجود ندارند. جملات اخلاقي به واقعيات، ناظر نبوده و جنبه حاكويت از عالم خارج ندارند. در نتيجه، صدق و كذب‌پذير نيستند، هرچند به صورت جملات خبري بيان شوند. اين جملات، غير از تمايلات و سلايق گوينده آنها يا قرارداد اجتماعي، منشأئي ندارند</w:t>
      </w:r>
      <w:r w:rsidRPr="00286172">
        <w:rPr>
          <w:rFonts w:ascii="Times New Roman" w:eastAsia="Times New Roman" w:hAnsi="Times New Roman" w:cs="B Mitra" w:hint="cs"/>
          <w:color w:val="000000"/>
          <w:sz w:val="24"/>
          <w:szCs w:val="24"/>
        </w:rPr>
        <w:t>.</w:t>
      </w:r>
      <w:bookmarkStart w:id="50" w:name="_ednref48"/>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48</w:t>
      </w:r>
      <w:r w:rsidRPr="00286172">
        <w:rPr>
          <w:rFonts w:ascii="Times New Roman" w:eastAsia="Times New Roman" w:hAnsi="Times New Roman" w:cs="B Mitra"/>
          <w:color w:val="000000"/>
          <w:sz w:val="24"/>
          <w:szCs w:val="24"/>
        </w:rPr>
        <w:fldChar w:fldCharType="end"/>
      </w:r>
      <w:bookmarkEnd w:id="50"/>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يك ناواقع‌گرا مشخص نمي‌كند كه تصميم درست چيست، بلكه تعيين مي‌كند كه براي او درست چيست. انتخابِ فرد، تعيين‌كننده درستي پاسخ است، نه اينكه درستي پاسخ، تعيين‌كننده انتخابش باشد. بنابراين، هيچ واهمه‌اي از نادرستي تصميمش ندارد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 xml:space="preserve">بنابر ناواقع‌گرايي، ارزش اخلاقي واقعيت ندارد. بنابراين، توصيف اشيا و ارزيابي آنها مستقل از يكديگرند؛ يعني هيچ توصيفي ما را به ارزيابي خاصي ملزم نمي‌كند، از اين‌رو، هر توصيفي ممكن است پذيرفته شود و هر ارزيابي‌اي رد شود و هيچ تناقضي در كار نيست. هر توصيفي كه </w:t>
      </w:r>
      <w:r w:rsidRPr="00286172">
        <w:rPr>
          <w:rFonts w:ascii="Times New Roman" w:eastAsia="Times New Roman" w:hAnsi="Times New Roman" w:cs="B Mitra" w:hint="cs"/>
          <w:color w:val="000000"/>
          <w:sz w:val="24"/>
          <w:szCs w:val="24"/>
          <w:rtl/>
        </w:rPr>
        <w:lastRenderedPageBreak/>
        <w:t>از فعل كسي صورت گرفت، هر ارزيابي‌اي مي‌تواند در مورد رفتار او قابل پذيرش يا رد باشد و تالي فاسدي هم لازم نيايد، چون ارزيابي هر شيء يا فعلي به معيار نياز دارد. البته طبق اين قول، كسي ملزم نيست كه معيار خاصي را بپذيرد. بنابراين، فعل انجام شده ممكن است خصيصه خاصي، مثل سودمندي يا رساندن به كمال كه به واسطه آن قابل توصيف است، ولي ضرورتي ندارد كه آن خصيصه به عنوان معيار پذيرفته شده و فعل به واسطه آن ارزيابي شود. بنابراين، داشتن ويژگي خاص در توصيف منطقاً مستلزم ارزيابي خاص نيست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رابطه ناواقع‌گرايي با تزاحمات اخلاقي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قبل از بيان رابطه ناواقع‌گرايي با تزاحمات اخلاقي، ضرورت دارد كه به لوازم ناواقع‌گرايي اشاره كنيم. عدم قابليت صدق و كذب، عدم امكان رد يا اثبات، عدم رابطه منطقي و ضروري بين بايد‌ها و هست‌ها، كثرت‌گرايي و نسبي‌گرايي از عمده لوازم ناواقع‌گرايي است</w:t>
      </w:r>
      <w:r w:rsidRPr="00286172">
        <w:rPr>
          <w:rFonts w:ascii="Times New Roman" w:eastAsia="Times New Roman" w:hAnsi="Times New Roman" w:cs="B Mitra" w:hint="cs"/>
          <w:color w:val="000000"/>
          <w:sz w:val="24"/>
          <w:szCs w:val="24"/>
        </w:rPr>
        <w:t>.</w:t>
      </w:r>
      <w:bookmarkStart w:id="51" w:name="_ednref49"/>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"_edn49"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49</w:t>
      </w:r>
      <w:r w:rsidRPr="00286172">
        <w:rPr>
          <w:rFonts w:ascii="Times New Roman" w:eastAsia="Times New Roman" w:hAnsi="Times New Roman" w:cs="B Mitra"/>
          <w:color w:val="000000"/>
          <w:sz w:val="24"/>
          <w:szCs w:val="24"/>
        </w:rPr>
        <w:fldChar w:fldCharType="end"/>
      </w:r>
      <w:bookmarkEnd w:id="51"/>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حال با توجه به اين لوازم، رابطه ناواقع‌گرايي با تزاحمات اخلاقي در سه مرحله تبيين مي‌شود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مرحله اول: عدم امكان وجود تزاحم</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چنان‌كه در فصل گذشته مطرح شد، وجود تزاحمات واقعي با ترديد عده‌اي از فيلسوفان روبه‌رو شده است. اين ترديد، بر مبناي ناواقع‌گرايي، نه تنها قابل دفاع است، بلكه به يقين تبديل مي‌شود، البته نه به دليلي كه آنها مطرح كرده‌اند، بلكه به دلايلي كه در ادامه بدان اشاره خواهد شد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اولاً: ناواقع‌گرايي با اقسام گوناگوني كه دارد، اعتبار احكام اخلاقي را به يكي از چند چيز مي‌داند: دستور، احساس، قرارداد و... ؛ يعني منشأ لزوم و ارزش اخلاقي را يكي از آن چند چيز دانسته و احكام اخلاقي را به وسيله آنها توجيه مي‌كنند. پس بايد خود دستور، احساس و قرارداد امري معتبر و اجتناب‌ناپذير باشند؛ يعني بايدهاي فرعي حاصل از دستور، احساس و قرارداد ناظر به «بايد»ي اصلي است. براي مثال، بنا بر نظريه امر الهي، تنها دستورهاي خداوند معتبر هستند و توجيه اعتبار آن دستورات به واسطه يك «بايد» اصلي است؛ يعني اين جمله كه «همه بايد از دستورات خداوند اطاعت كنند»، اعتبار بايدهاي اخلاقي ديگر وابسته به اين «بايد» اصلي است. اما خود اين «بايد» اصلي هيچ توجيهي نداشته و در واقع، معتبر نيست، چون يا بايد بگوييم كه به توجيه نياز ندارد يا با خودش توجيه مي‌شود و يا جمله ديگري آن را توجيه مي‌كند، امّا هيچ‌يك از اين صور، قابل قبول نيست، چون اولاً: هيچ جمله‌اي را نمي‌توان بدون توجيه پذيرفت، ثانياً: توجيه آن به واسطه خودش به دور باطل منجر مي‌شود، ثالثاً: توجيه آن به واسطه جمله‌اي ديگر، دو حالت دارد: يا آن جمله «بايد» اصلي‌تري است و يا از جنس «هست»ها است، در حالي كه بنا به فرض، «بايد» اصلي‌تر وجود ندارد و اگر هم وجود داشته باشد به تسلسل منجر مي‌شود، و طبق نظريه ناواقع‌گرايي «بايد» در «هست» نيز ريشه ندارد. نتيجه اينكه خود آن «بايد» اصلي، امري بدون توجيه بوده و بدون لحاظ واقع‌گرايي هيچ ارزش و لزومي پديد نمي‌آيد</w:t>
      </w:r>
      <w:r w:rsidRPr="00286172">
        <w:rPr>
          <w:rFonts w:ascii="Times New Roman" w:eastAsia="Times New Roman" w:hAnsi="Times New Roman" w:cs="B Mitra" w:hint="cs"/>
          <w:color w:val="000000"/>
          <w:sz w:val="24"/>
          <w:szCs w:val="24"/>
        </w:rPr>
        <w:t>.</w:t>
      </w:r>
      <w:bookmarkStart w:id="52" w:name="_ednref50"/>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50</w:t>
      </w:r>
      <w:r w:rsidRPr="00286172">
        <w:rPr>
          <w:rFonts w:ascii="Times New Roman" w:eastAsia="Times New Roman" w:hAnsi="Times New Roman" w:cs="B Mitra"/>
          <w:color w:val="000000"/>
          <w:sz w:val="24"/>
          <w:szCs w:val="24"/>
        </w:rPr>
        <w:fldChar w:fldCharType="end"/>
      </w:r>
      <w:bookmarkEnd w:id="52"/>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از سوي ديگر، قيود مختلفي براي تزاحم مطرح شد. يكي از آنها اين بود كه در دو طرف تزاحم، نوعي لزوم مطرح است، به طوري كه مكلف نمي‌تواند هر دو را ترك كند، در حالي كه با توضيح فوق روشن شد كه بنا بر ناواقع‌گرايي هيچ لزومي مطرح نيست، از اين‌رو، فاعل مي‌تواند هر دو طرف به ظاهر متزاحم را بدون هيچ محذوري ترك كند. به سخن ديگر، تزاحم واقعي بين دو «بايد» يا دو «نبايد» و يا يك «بايد» و يك «نبايد» برقرار است، در حالي كه بنا بر ناواقع‌گرايي هيچ «بايد» و «نبايد»ي مطرح نبوده و نمي‌تواند باشد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ثانياً: بنا بر ناواقع‌گرايي، ارزش‌گذاري و درستي و نادرستي، به دليل ناموجه بودن درست و نادرست اصلي، و خوب و بد اصلي، معنا ندارد. بنابراين، درست‌تر و نادرست‌تر بودن و در نتيجه، ترجيح يك فعل بر ديگري نيز معنا نخواهد داشت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ثالثاً: اگر حكمي اخلاقي بر واقعيت و روابط واقعي اشيا مبتني باشد، بايد بلهوسانه يا قراردادي و نسبي باشد؛</w:t>
      </w:r>
      <w:bookmarkStart w:id="53" w:name="_ednref51"/>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51</w:t>
      </w:r>
      <w:r w:rsidRPr="00286172">
        <w:rPr>
          <w:rFonts w:ascii="Times New Roman" w:eastAsia="Times New Roman" w:hAnsi="Times New Roman" w:cs="B Mitra"/>
          <w:color w:val="000000"/>
          <w:sz w:val="24"/>
          <w:szCs w:val="24"/>
        </w:rPr>
        <w:fldChar w:fldCharType="end"/>
      </w:r>
      <w:bookmarkEnd w:id="53"/>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يعني ناواقع‌گرايي به نسبي‌گرايي منجر مي‌شود و از لوازم نسبي‌گرايي، سليقه‌اي بودن اخلاق است،</w:t>
      </w:r>
      <w:bookmarkStart w:id="54" w:name="_ednref52"/>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52</w:t>
      </w:r>
      <w:r w:rsidRPr="00286172">
        <w:rPr>
          <w:rFonts w:ascii="Times New Roman" w:eastAsia="Times New Roman" w:hAnsi="Times New Roman" w:cs="B Mitra"/>
          <w:color w:val="000000"/>
          <w:sz w:val="24"/>
          <w:szCs w:val="24"/>
        </w:rPr>
        <w:fldChar w:fldCharType="end"/>
      </w:r>
      <w:bookmarkEnd w:id="54"/>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و در امر سليقه‌اي نيز تزاحم معنا ندارد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رابعاً: بنا بر ناواقع‌گرايي، نهايت چيزي كه يك جمله اخلاقي بيان مي‌كند، عبارت است از تعلق اراده انشاكننده به آن حكمي كه در جمله بيان شده است</w:t>
      </w:r>
      <w:r w:rsidRPr="00286172">
        <w:rPr>
          <w:rFonts w:ascii="Times New Roman" w:eastAsia="Times New Roman" w:hAnsi="Times New Roman" w:cs="B Mitra" w:hint="cs"/>
          <w:color w:val="000000"/>
          <w:sz w:val="24"/>
          <w:szCs w:val="24"/>
        </w:rPr>
        <w:t>.</w:t>
      </w:r>
      <w:bookmarkStart w:id="55" w:name="_ednref53"/>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53</w:t>
      </w:r>
      <w:r w:rsidRPr="00286172">
        <w:rPr>
          <w:rFonts w:ascii="Times New Roman" w:eastAsia="Times New Roman" w:hAnsi="Times New Roman" w:cs="B Mitra"/>
          <w:color w:val="000000"/>
          <w:sz w:val="24"/>
          <w:szCs w:val="24"/>
        </w:rPr>
        <w:fldChar w:fldCharType="end"/>
      </w:r>
      <w:bookmarkEnd w:id="55"/>
      <w:r w:rsidRPr="00286172">
        <w:rPr>
          <w:rFonts w:ascii="Times New Roman" w:eastAsia="Times New Roman" w:hAnsi="Times New Roman" w:cs="B Mitra" w:hint="cs"/>
          <w:color w:val="000000"/>
          <w:sz w:val="24"/>
          <w:szCs w:val="24"/>
          <w:rtl/>
        </w:rPr>
        <w:t xml:space="preserve">تزاحم دو انشايي كه هيچ مبناي واقعي ندارند، قابل فرض نبوده و درگير شدن در ارزيابي‌‌هاي اخلاقي و تشخيص </w:t>
      </w:r>
      <w:r w:rsidRPr="00286172">
        <w:rPr>
          <w:rFonts w:ascii="Times New Roman" w:eastAsia="Times New Roman" w:hAnsi="Times New Roman" w:cs="B Mitra" w:hint="cs"/>
          <w:color w:val="000000"/>
          <w:sz w:val="24"/>
          <w:szCs w:val="24"/>
          <w:rtl/>
        </w:rPr>
        <w:lastRenderedPageBreak/>
        <w:t>درستي و نادرستي جملات اخلاقي يا ترجيح يك فعل بر ديگري بي‌معنا خواهد بود. به تعبير ديگر، ناسازگاري بين دو امر اعتباري يا بين امري اعتباري و امري حقيقي قابل فرض نيست. اگر دو نفر در مورد فعلي اختلاف داشته؛ يكي بگويد درست است و ديگري بگويد نادرست است و اين اختلاف بدان معنا باشد كه هر كدام صرفاً درباره احساس يا خواسته خودش سخن مي‌گويد، پس واقعاً هيچ اختلاف عقيد‌‌ه‌اي ندارند، چنان‌كه اگر كسي بگويد «من قند دوست دارم» و ديگري بگويد «دوست ندارم»، هيچ اختلاف عقيد‌‌ه‌اي ندارند</w:t>
      </w:r>
      <w:r w:rsidRPr="00286172">
        <w:rPr>
          <w:rFonts w:ascii="Times New Roman" w:eastAsia="Times New Roman" w:hAnsi="Times New Roman" w:cs="B Mitra" w:hint="cs"/>
          <w:color w:val="000000"/>
          <w:sz w:val="24"/>
          <w:szCs w:val="24"/>
        </w:rPr>
        <w:t>.</w:t>
      </w:r>
      <w:bookmarkStart w:id="56" w:name="_ednref54"/>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54</w:t>
      </w:r>
      <w:r w:rsidRPr="00286172">
        <w:rPr>
          <w:rFonts w:ascii="Times New Roman" w:eastAsia="Times New Roman" w:hAnsi="Times New Roman" w:cs="B Mitra"/>
          <w:color w:val="000000"/>
          <w:sz w:val="24"/>
          <w:szCs w:val="24"/>
        </w:rPr>
        <w:fldChar w:fldCharType="end"/>
      </w:r>
      <w:bookmarkEnd w:id="56"/>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اگر واقعيتي وجود نداشته باشد و افراد در بيان حكم اخلاقي صرفاً احساسات و اميال شخصي خود را ابراز مي‌كنند نمي‌توان گفت كه احساس شخصي درست‌تر از ديگران است</w:t>
      </w:r>
      <w:r w:rsidRPr="00286172">
        <w:rPr>
          <w:rFonts w:ascii="Times New Roman" w:eastAsia="Times New Roman" w:hAnsi="Times New Roman" w:cs="B Mitra" w:hint="cs"/>
          <w:color w:val="000000"/>
          <w:sz w:val="24"/>
          <w:szCs w:val="24"/>
        </w:rPr>
        <w:t>.</w:t>
      </w:r>
      <w:bookmarkStart w:id="57" w:name="_ednref55"/>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55</w:t>
      </w:r>
      <w:r w:rsidRPr="00286172">
        <w:rPr>
          <w:rFonts w:ascii="Times New Roman" w:eastAsia="Times New Roman" w:hAnsi="Times New Roman" w:cs="B Mitra"/>
          <w:color w:val="000000"/>
          <w:sz w:val="24"/>
          <w:szCs w:val="24"/>
        </w:rPr>
        <w:fldChar w:fldCharType="end"/>
      </w:r>
      <w:bookmarkEnd w:id="57"/>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تزاحم نيز نوعي ناسازگاري است؛ ناسازگاري بين خواسته‌هاي يك فرد. البته اگر اين خواسته‌ها هيچ مبناي واقعي نداشته و در نتيجه، هيچ ارزش اخلاقي نداشته باشد، تزاحم آنها معنا نداشته و فاعل مي‌تواند به راحتي هر دو را ترك كند. بنابراين، تحقق تزاحم بين دو چيز متوقف بر اين است كه هر دو مستقيماً به واقع ناظر بوده يا منشأ انتزاع واقعي داشته باشند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نتيجه اينكه بر اساس اين مكتب اساساً اخلاق معنا نخواهد داشت، چه رسد به اينكه تزاحم معنا داشته باشد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مرحله دوم: عدم امكان ارائه راه حل</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در اين مرحله، ادعا اين است كه اگر وجود تزاحم واقعي را پذيرفته و آن را مفروض بگيريم نمي‌توان بر اساس ناواقع‌گرايي راه حلي ارائه كرد، چون حل تزاحم اخلاقي، يعني تلاش براي كشف حكم اخلاقي واقعي در موردي خاص، و اگر واقعيتي در ميان نباشد و احكام اخلاقي صرفاً جعل باشد، اين تلاش نيز معنا نخواهد داشت، علاوه بر اينكه كشف حكم اخلاقي مستلزم استدلال است، در حالي كه بر اساس اين مبنا راهي براي برهان و استدلال در اخلاق باقي نمي‌ماند. استدلال زماني ممكن است كه ميان ارزش‌‌ها و واقعيات خارجي، رابطه‌اي منطقي از سنخ رابطه علي و معلولي برقرار باشد</w:t>
      </w:r>
      <w:r w:rsidRPr="00286172">
        <w:rPr>
          <w:rFonts w:ascii="Times New Roman" w:eastAsia="Times New Roman" w:hAnsi="Times New Roman" w:cs="B Mitra" w:hint="cs"/>
          <w:color w:val="000000"/>
          <w:sz w:val="24"/>
          <w:szCs w:val="24"/>
        </w:rPr>
        <w:t>.</w:t>
      </w:r>
      <w:bookmarkStart w:id="58" w:name="_ednref56"/>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56</w:t>
      </w:r>
      <w:r w:rsidRPr="00286172">
        <w:rPr>
          <w:rFonts w:ascii="Times New Roman" w:eastAsia="Times New Roman" w:hAnsi="Times New Roman" w:cs="B Mitra"/>
          <w:color w:val="000000"/>
          <w:sz w:val="24"/>
          <w:szCs w:val="24"/>
        </w:rPr>
        <w:fldChar w:fldCharType="end"/>
      </w:r>
      <w:bookmarkEnd w:id="58"/>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دليل ديگر اينكه ناواقع‌گرايي به كثرت‌گرايي اخلاقي منجر مي‌شود؛ يعني همه</w:t>
      </w:r>
      <w:r w:rsidRPr="00286172">
        <w:rPr>
          <w:rFonts w:ascii="Times New Roman" w:eastAsia="Times New Roman" w:hAnsi="Times New Roman" w:cs="B Mitra" w:hint="cs"/>
          <w:color w:val="000000"/>
          <w:sz w:val="24"/>
          <w:szCs w:val="24"/>
        </w:rPr>
        <w:br/>
      </w:r>
      <w:r w:rsidRPr="00286172">
        <w:rPr>
          <w:rFonts w:ascii="Times New Roman" w:eastAsia="Times New Roman" w:hAnsi="Times New Roman" w:cs="B Mitra" w:hint="cs"/>
          <w:color w:val="000000"/>
          <w:sz w:val="24"/>
          <w:szCs w:val="24"/>
          <w:rtl/>
        </w:rPr>
        <w:t>احكام اخلاقي هرچند متعارض باشند به يك اندازه قابل قبول خواهند بود</w:t>
      </w:r>
      <w:r w:rsidRPr="00286172">
        <w:rPr>
          <w:rFonts w:ascii="Times New Roman" w:eastAsia="Times New Roman" w:hAnsi="Times New Roman" w:cs="B Mitra" w:hint="cs"/>
          <w:color w:val="000000"/>
          <w:sz w:val="24"/>
          <w:szCs w:val="24"/>
        </w:rPr>
        <w:t>.</w:t>
      </w:r>
      <w:bookmarkStart w:id="59" w:name="_ednref57"/>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57</w:t>
      </w:r>
      <w:r w:rsidRPr="00286172">
        <w:rPr>
          <w:rFonts w:ascii="Times New Roman" w:eastAsia="Times New Roman" w:hAnsi="Times New Roman" w:cs="B Mitra"/>
          <w:color w:val="000000"/>
          <w:sz w:val="24"/>
          <w:szCs w:val="24"/>
        </w:rPr>
        <w:fldChar w:fldCharType="end"/>
      </w:r>
      <w:bookmarkEnd w:id="59"/>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براي مثال، در تزاحم بين حق مادر و جنين، حكم به خوب بودن سقط جنين و بد بودن آن، هر دو به يك اندازه قابل قبول است. در تزاحم بين راست‌گويي و نجات جان يك انسان نيز همين طور است؛ يعني «راستگويي خوب است» يا «راستگويي بد است» هر دو به يك اندازه قابل قبول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اگر مفاهيم اخلاقي را از قبيل انشائيات دانستيم، معياري براي صحت و عدم صحتش نمي‌توانيم داشته باشيم، چون حكايت از واقعيتي نمي‌كنند، بلكه تابع اراده انشا‌كننده هستند، نهايتاً بالالتزام كشف مي‌كنند كه چنين اراده‌اي وجود داشته است. پس معياري براي ارزيابي باقي نمانده و اخلاق نسبي خواهد شد، چون تابع اراده‌هاست</w:t>
      </w:r>
      <w:r w:rsidRPr="00286172">
        <w:rPr>
          <w:rFonts w:ascii="Times New Roman" w:eastAsia="Times New Roman" w:hAnsi="Times New Roman" w:cs="B Mitra" w:hint="cs"/>
          <w:color w:val="000000"/>
          <w:sz w:val="24"/>
          <w:szCs w:val="24"/>
        </w:rPr>
        <w:t>.</w:t>
      </w:r>
      <w:bookmarkStart w:id="60" w:name="_ednref58"/>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58</w:t>
      </w:r>
      <w:r w:rsidRPr="00286172">
        <w:rPr>
          <w:rFonts w:ascii="Times New Roman" w:eastAsia="Times New Roman" w:hAnsi="Times New Roman" w:cs="B Mitra"/>
          <w:color w:val="000000"/>
          <w:sz w:val="24"/>
          <w:szCs w:val="24"/>
        </w:rPr>
        <w:fldChar w:fldCharType="end"/>
      </w:r>
      <w:bookmarkEnd w:id="60"/>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وقتي نتوانيم معياري براي صحت و عدم صحت ارائه دهيم به طريق اولي در حل تزاحم نيز نمي‌توان معياري را لحاظ كرد، چون معيار در هر دو مورد يكي است. بنابراين، اگر امور اخلاقي به واقعيت كاري ندارند و هيچ پاسخ صحيحي وجود ندارد، تعارض‌‌ها و تزاحم‌ها قابل رفع نخواهد بود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ارائه راه حل در تزاحم بدين معناست كه دو طرف را با معياري ثابت سنجيده و يكي را بر ديگري ترجيح دهيم، در حالي كه اگر يك ارزش ذاتي وجود نداشته باشد كه بقيه ارزش‌‌هاي ديگر را بتوان به آن تحويل كرد، ارزش‌‌ها قابل اندازه‌گيري نيستند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معيار حل تزاحمات نمي‌تواند چيزي غير از معيار درستي و نادرستي فعل باشد، چون فرض اين است كه در تزاحم هر دو درست است؛ يعني هر دو آن ملاك را دارند. بنابراين، براي حل تزاحم بايد ديد كه كدام درست‌تر است؛ يعني كدام‌يك، از آن ملاك بيشتر بهره‌مندند. بنابراين، بايد ملاك صحت يك عمل امري مشكك باشد و چون در ناواقع</w:t>
      </w:r>
      <w:r w:rsidRPr="00286172">
        <w:rPr>
          <w:rFonts w:ascii="Times New Roman" w:eastAsia="Times New Roman" w:hAnsi="Times New Roman" w:cs="B Mitra" w:hint="cs"/>
          <w:color w:val="000000"/>
          <w:sz w:val="24"/>
          <w:szCs w:val="24"/>
          <w:rtl/>
        </w:rPr>
        <w:softHyphen/>
        <w:t>گرايي چنين ملاكي وجود ندارد، پس نمي‌تواند معياري براي حل تزاحمات داشته باشد، چون جملات اخلاقي بنا بر ناواقع‌گرايي، انشا هستند و در انشا تشكيك معنا ندارد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نكته آخر اينكه در حل تزاحم ـ چنان‌كه گفته شد ـ حتماً بايد هدف و غايتي لحاظ شده باشد، در حالي كه بنا بر ناواقع‌گرايي هدفي مطرح نيست، چراكه از يك‌سو در ناواقع‌گرايي اساساً ارزش‌ها جعل و اعتبار مي‌شوند. از سوي ديگر، در امور قراردادي، جعل و اعتبار در ناحيه ابزارها صورت مي‌گيرد، نه هدف‌ها</w:t>
      </w:r>
      <w:r w:rsidRPr="00286172">
        <w:rPr>
          <w:rFonts w:ascii="Times New Roman" w:eastAsia="Times New Roman" w:hAnsi="Times New Roman" w:cs="B Mitra" w:hint="cs"/>
          <w:color w:val="000000"/>
          <w:sz w:val="24"/>
          <w:szCs w:val="24"/>
        </w:rPr>
        <w:t>.</w:t>
      </w:r>
      <w:bookmarkStart w:id="61" w:name="_ednref59"/>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"_edn59"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59</w:t>
      </w:r>
      <w:r w:rsidRPr="00286172">
        <w:rPr>
          <w:rFonts w:ascii="Times New Roman" w:eastAsia="Times New Roman" w:hAnsi="Times New Roman" w:cs="B Mitra"/>
          <w:color w:val="000000"/>
          <w:sz w:val="24"/>
          <w:szCs w:val="24"/>
        </w:rPr>
        <w:fldChar w:fldCharType="end"/>
      </w:r>
      <w:bookmarkEnd w:id="61"/>
      <w:r w:rsidRPr="00286172">
        <w:rPr>
          <w:rFonts w:ascii="Times New Roman" w:eastAsia="Times New Roman" w:hAnsi="Times New Roman" w:cs="B Mitra" w:hint="cs"/>
          <w:color w:val="000000"/>
          <w:sz w:val="24"/>
          <w:szCs w:val="24"/>
          <w:rtl/>
        </w:rPr>
        <w:t xml:space="preserve">مي‌پرسيم هدف از جعل چيست؟ اگر خود همين امور اعتباري هدف باشد كه امكان ندارد. ممكن نيست من خودم چيزي را اعتبار كرده و آن را هدف اتخاذ كنم. هدف، يعني امري بالاتر از انسان كه سعي مي‌كند بدان دست يابد، در حالي </w:t>
      </w:r>
      <w:r w:rsidRPr="00286172">
        <w:rPr>
          <w:rFonts w:ascii="Times New Roman" w:eastAsia="Times New Roman" w:hAnsi="Times New Roman" w:cs="B Mitra" w:hint="cs"/>
          <w:color w:val="000000"/>
          <w:sz w:val="24"/>
          <w:szCs w:val="24"/>
          <w:rtl/>
        </w:rPr>
        <w:lastRenderedPageBreak/>
        <w:t>كه امر جعلي، به دست انسان و پايين‌تر از اوست. و اگر هدفي واقعي لحاظ شود، لازمه‌اش دست شستن از ادعاي ناواقع‌گرايانه است. سؤال اين است كه اگر خوبيِ صداقت، امري قراردادي و اعتباري باشد، چرا جعل شده است؟ اگر در پاسخ اين سؤال، هدفي واقعي ذكر شود، معنايش اين است كه بين صداقت و آن هدف، رابطه واقعي و علّي و معلولي برقرار است و اين، يعني واقع‌گرايي، نه ناواقع‌گرايي</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نتيجه اينكه اگر حقيقت اخلاقي وجود نداشته باشد، نمي‌توان وجود اختلاف در اخلاق را با معنا دانست، چه رسد به اينكه در پي كشف شيو‌‌ه‌اي معقول براي حل اختلافات بود</w:t>
      </w:r>
      <w:r w:rsidRPr="00286172">
        <w:rPr>
          <w:rFonts w:ascii="Times New Roman" w:eastAsia="Times New Roman" w:hAnsi="Times New Roman" w:cs="B Mitra" w:hint="cs"/>
          <w:color w:val="000000"/>
          <w:sz w:val="24"/>
          <w:szCs w:val="24"/>
        </w:rPr>
        <w:t>.</w:t>
      </w:r>
      <w:bookmarkStart w:id="62" w:name="_ednref60"/>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60</w:t>
      </w:r>
      <w:r w:rsidRPr="00286172">
        <w:rPr>
          <w:rFonts w:ascii="Times New Roman" w:eastAsia="Times New Roman" w:hAnsi="Times New Roman" w:cs="B Mitra"/>
          <w:color w:val="000000"/>
          <w:sz w:val="24"/>
          <w:szCs w:val="24"/>
        </w:rPr>
        <w:fldChar w:fldCharType="end"/>
      </w:r>
      <w:bookmarkEnd w:id="62"/>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مرحله سوم، راه حل تزاحمات بنا بر ناواقع‌گرايي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از آنجا كه ممكن است ناواقع‌گرايان به لوازم ديدگاه خويش آگاه و پايبند نبوده و وجود تزاحمات واقعي و امكان ارائه راه حل را مفروض بگيرند، در اين مرحله، راه‌حل‌هاي آنها را بيان مي‌كنيم</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براي ناواقع‌گرايان هيچ تزاحمي مطرح نيست و قاعدتاً نبايد مطرح باشد، اما بالأخره در مقام عمل يك فعل را اختيار مي‌كنند و ارتكازاً به يك سري مرجحاتي متمسك مي‌شوند، گرچه مبنائاً نبايد چنين كاري كنند و انتخاب آنها بايد دلبخواهي باشد؛ يعني عملاً واقع‌گرايي را به عنوان پيش فرض قبول مي‌كنند. ناواقع‌گرايان در مقام عمل براي ترجيح فعلي بر فعل ديگر، دستشان از مرجحات كيفي خالي است، چون هيچ ميلي بر ديگري ترجيح ندارد و تمام ترجيحات در يك سطح قرار دارند. بنابراين، خيلي ساده مي‌توانند به مرجحات كمّي؛ يعني خواست اكثريت رجوع كنند</w:t>
      </w:r>
      <w:r w:rsidRPr="00286172">
        <w:rPr>
          <w:rFonts w:ascii="Times New Roman" w:eastAsia="Times New Roman" w:hAnsi="Times New Roman" w:cs="B Mitra" w:hint="cs"/>
          <w:color w:val="000000"/>
          <w:sz w:val="24"/>
          <w:szCs w:val="24"/>
        </w:rPr>
        <w:t>.</w:t>
      </w:r>
      <w:bookmarkStart w:id="63" w:name="_ednref61"/>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61</w:t>
      </w:r>
      <w:r w:rsidRPr="00286172">
        <w:rPr>
          <w:rFonts w:ascii="Times New Roman" w:eastAsia="Times New Roman" w:hAnsi="Times New Roman" w:cs="B Mitra"/>
          <w:color w:val="000000"/>
          <w:sz w:val="24"/>
          <w:szCs w:val="24"/>
        </w:rPr>
        <w:fldChar w:fldCharType="end"/>
      </w:r>
      <w:bookmarkEnd w:id="63"/>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برخي با انكار ارتباط مشخص ميان خصوصيات غير‌اخلاقي و اخلاقي بر آنند كه در حل تزاحمات نمي‌توان با الگو‌‌هاي عام پيش رفت، بلكه در هر موردي بايد به سياق خاص آن مورد، مراجعه كرد، چراكه از تركيب خصوصيت غير‌اخلاقي و خصوصيت اخلاقي نمي</w:t>
      </w:r>
      <w:r w:rsidRPr="00286172">
        <w:rPr>
          <w:rFonts w:ascii="Times New Roman" w:eastAsia="Times New Roman" w:hAnsi="Times New Roman" w:cs="B Mitra" w:hint="cs"/>
          <w:color w:val="000000"/>
          <w:sz w:val="24"/>
          <w:szCs w:val="24"/>
          <w:rtl/>
        </w:rPr>
        <w:softHyphen/>
        <w:t>توان به قاعد‌‌ه‌اي عام دست يافت. به بيان ديگر، شخص در هر موقعيت بايد با شهود‌‌هاي اخلاقي يا ادراكات اخلاقي خويش به داوري دست بزند. آنچه مهم است عبارت است از توجه به تمام ظرايف و جزئيات مورد براي دستيابي به نگاه اخلاقي بهتر</w:t>
      </w:r>
      <w:r w:rsidRPr="00286172">
        <w:rPr>
          <w:rFonts w:ascii="Times New Roman" w:eastAsia="Times New Roman" w:hAnsi="Times New Roman" w:cs="B Mitra" w:hint="cs"/>
          <w:color w:val="000000"/>
          <w:sz w:val="24"/>
          <w:szCs w:val="24"/>
        </w:rPr>
        <w:t>.</w:t>
      </w:r>
      <w:bookmarkStart w:id="64" w:name="_ednref62"/>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62</w:t>
      </w:r>
      <w:r w:rsidRPr="00286172">
        <w:rPr>
          <w:rFonts w:ascii="Times New Roman" w:eastAsia="Times New Roman" w:hAnsi="Times New Roman" w:cs="B Mitra"/>
          <w:color w:val="000000"/>
          <w:sz w:val="24"/>
          <w:szCs w:val="24"/>
        </w:rPr>
        <w:fldChar w:fldCharType="end"/>
      </w:r>
      <w:bookmarkEnd w:id="64"/>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نقد و بررسي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نخستين و مهم‌ترين اشكال به راه حل ناواقع‌گرايان اين است كه تصميم‌گيري در چارچوب ناواقع‌گرايي با مفروض گرفتن برخي فرض‌‌هاي معقول ـ نه به صورت دلبخواهي ـ به واقع‌گرايي مي‌انجامد، براي مثال، مثلاً به سودگرايي، چنان‌كه</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مك ناوتن</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color w:val="000000"/>
          <w:sz w:val="24"/>
          <w:szCs w:val="24"/>
          <w:rtl/>
        </w:rPr>
        <w:t>آن را آشكار ساخته است</w:t>
      </w:r>
      <w:r w:rsidRPr="00286172">
        <w:rPr>
          <w:rFonts w:ascii="Times New Roman" w:eastAsia="Times New Roman" w:hAnsi="Times New Roman" w:cs="B Mitra" w:hint="cs"/>
          <w:color w:val="000000"/>
          <w:sz w:val="24"/>
          <w:szCs w:val="24"/>
        </w:rPr>
        <w:t>.</w:t>
      </w:r>
      <w:bookmarkStart w:id="65" w:name="_ednref63"/>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63</w:t>
      </w:r>
      <w:r w:rsidRPr="00286172">
        <w:rPr>
          <w:rFonts w:ascii="Times New Roman" w:eastAsia="Times New Roman" w:hAnsi="Times New Roman" w:cs="B Mitra"/>
          <w:color w:val="000000"/>
          <w:sz w:val="24"/>
          <w:szCs w:val="24"/>
        </w:rPr>
        <w:fldChar w:fldCharType="end"/>
      </w:r>
      <w:bookmarkEnd w:id="65"/>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دومين نقد اين است كه اگر بين گزاره‌هاي اخلاقي و واقعيت، ارتباطي وجود نداشته باشد، قطعاً جايز نيست بگوييم كه آنچه حتي همه مردم بر سرش توافق كرده‌اند درست است،</w:t>
      </w:r>
      <w:bookmarkStart w:id="66" w:name="_ednref64"/>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64</w:t>
      </w:r>
      <w:r w:rsidRPr="00286172">
        <w:rPr>
          <w:rFonts w:ascii="Times New Roman" w:eastAsia="Times New Roman" w:hAnsi="Times New Roman" w:cs="B Mitra"/>
          <w:color w:val="000000"/>
          <w:sz w:val="24"/>
          <w:szCs w:val="24"/>
        </w:rPr>
        <w:fldChar w:fldCharType="end"/>
      </w:r>
      <w:bookmarkEnd w:id="66"/>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چه رسد به اينكه بخواهيم رأي اكثريت را ملاك قرار دهيم</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انتخاب فعلي و ترجيح آن بر فعل ديگر، نيازمند مرجح است. بر اساس ناواقع‌گرايي دليل قانع‌كنند‌‌ه‌اي بر ترجيح وجود ندارد، مگر همان قرارداد يا دستور يا احساس و امثال اينها. اما سؤال اين است كه چرا يك قرارداد يا احساس بر قرارداد يا احساس ديگر ترجيح دارد. نتيجه اينكه بر اساس ناواقع‌گرايي راه حل قانع‌كننده و عقلاني در حل تزاحمات، يعني ترجيح فعلي بر ديگري در دسترس نيست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 xml:space="preserve">سؤال اين است كه اگر براي رسيدن به داوري اخلاقي موجه، اصل يا اصول اخلاقي وجود ندارد و بايد هر سياق جداگانه بررسي شود، پس چه چيزهايي تزاحم كرده‌اند؟ فرض كنيد پدري مي‌داند كه فرزندش در كنكور قبول نشده است. اگر به فرزندش نتيجه را بگويد ميهماني امشبش به واسطه اندوه، ضايع مي‌شود. اگر فرزند از پدر بپرسد كه آيا نتيجه را اعلام كرده‌اند يا نه؟ پدر اگر راست بگويد ميهماني فرزندش به هم مي‌خورد و اگر دروغ بگويد اصل صداقت را زير پا گذاشته است. اينجا دو اصل وجود دارد كه به واسطه آنها تزاحم صورت گرفته است. حال اگر هيچ اصلي مطرح نباشد تزاحم چگونه قابل تصور است؟ علاوه بر اين، كساني كه شرايط محيطي را براي حل تزاحمات، </w:t>
      </w:r>
      <w:r w:rsidRPr="00286172">
        <w:rPr>
          <w:rFonts w:ascii="Times New Roman" w:eastAsia="Times New Roman" w:hAnsi="Times New Roman" w:cs="B Mitra" w:hint="cs"/>
          <w:color w:val="000000"/>
          <w:sz w:val="24"/>
          <w:szCs w:val="24"/>
          <w:rtl/>
        </w:rPr>
        <w:lastRenderedPageBreak/>
        <w:t>تعيين‌كننده مي‌دانند، بايد توجه داشته باشند كه يكي از اين شرايط محيطي در نظر گرفتن نتايج تصميم اخلاقي است</w:t>
      </w:r>
      <w:r w:rsidRPr="00286172">
        <w:rPr>
          <w:rFonts w:ascii="Times New Roman" w:eastAsia="Times New Roman" w:hAnsi="Times New Roman" w:cs="B Mitra" w:hint="cs"/>
          <w:color w:val="000000"/>
          <w:sz w:val="24"/>
          <w:szCs w:val="24"/>
        </w:rPr>
        <w:t>.</w:t>
      </w:r>
      <w:bookmarkStart w:id="67" w:name="_ednref65"/>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65</w:t>
      </w:r>
      <w:r w:rsidRPr="00286172">
        <w:rPr>
          <w:rFonts w:ascii="Times New Roman" w:eastAsia="Times New Roman" w:hAnsi="Times New Roman" w:cs="B Mitra"/>
          <w:color w:val="000000"/>
          <w:sz w:val="24"/>
          <w:szCs w:val="24"/>
        </w:rPr>
        <w:fldChar w:fldCharType="end"/>
      </w:r>
      <w:bookmarkEnd w:id="67"/>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لحاظ نتايج تصميم اخلاقي نيز با واقع‌گرايي سازگار است، نه ناواقع‌گرايي</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برخي از قائلان به نظريه سياق‌گرايي، هم اصولي را لحاظ كرده و هم نتايج افعال را در نظر گرفته‌اند كه اين با مبناي آنها سازگار نيست. براي مثال،</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مك ناوتن</w:t>
      </w:r>
      <w:r w:rsidRPr="00286172">
        <w:rPr>
          <w:rFonts w:ascii="Times New Roman" w:eastAsia="Times New Roman" w:hAnsi="Times New Roman" w:cs="B Mitra" w:hint="cs"/>
          <w:color w:val="000000"/>
          <w:sz w:val="24"/>
          <w:szCs w:val="24"/>
          <w:rtl/>
        </w:rPr>
        <w:t>كه به خاص‌گرايي و توجه به سياق هر مورد، اعتقاد دارد، در بررسي قتل ترحمي اسكيمو‌‌ها در نهايت آن را با قرار دادن ذيل اصل كلي توجيه مي‌كند؛ اين اصل كه «كشتن پدر پير ارزش ابقايي دارد؛ يعني باعث بقاي قبيله و خانواده مي‌شود.» او مي‌گويد كه چگونگي به كارگيري اصول از سياقي به سياق ديگر تغيير مي‌كند</w:t>
      </w:r>
      <w:r w:rsidRPr="00286172">
        <w:rPr>
          <w:rFonts w:ascii="Times New Roman" w:eastAsia="Times New Roman" w:hAnsi="Times New Roman" w:cs="B Mitra" w:hint="cs"/>
          <w:color w:val="000000"/>
          <w:sz w:val="24"/>
          <w:szCs w:val="24"/>
        </w:rPr>
        <w:t>.</w:t>
      </w:r>
      <w:bookmarkStart w:id="68" w:name="_ednref66"/>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66</w:t>
      </w:r>
      <w:r w:rsidRPr="00286172">
        <w:rPr>
          <w:rFonts w:ascii="Times New Roman" w:eastAsia="Times New Roman" w:hAnsi="Times New Roman" w:cs="B Mitra"/>
          <w:color w:val="000000"/>
          <w:sz w:val="24"/>
          <w:szCs w:val="24"/>
        </w:rPr>
        <w:fldChar w:fldCharType="end"/>
      </w:r>
      <w:bookmarkEnd w:id="68"/>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تمسك به اين اصل با مبناي آنها سازگار نيست، چراكه خاص‌گرايي معرفت‌شناسانه براي اصول ارزش ابزاري قائل است. به نظر آنها اصول ابزاري است كه در فرآيند تعليم نوآموز كمك مي‌كند تا بتواند با اخلاق آشنا شود، اما به تدريج خواهد فهميد كه اصول اخلاقي استثناناپذير وجود ندارد و مي‌تواند آنها را نقض كرده و پس از آشنايي با چگونگي كاربرد آنها در سياق‌‌هاي مختلف، دور بيندازد</w:t>
      </w:r>
      <w:r w:rsidRPr="00286172">
        <w:rPr>
          <w:rFonts w:ascii="Times New Roman" w:eastAsia="Times New Roman" w:hAnsi="Times New Roman" w:cs="B Mitra" w:hint="cs"/>
          <w:color w:val="000000"/>
          <w:sz w:val="24"/>
          <w:szCs w:val="24"/>
        </w:rPr>
        <w:t>.</w:t>
      </w:r>
      <w:bookmarkStart w:id="69" w:name="_ednref67"/>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67</w:t>
      </w:r>
      <w:r w:rsidRPr="00286172">
        <w:rPr>
          <w:rFonts w:ascii="Times New Roman" w:eastAsia="Times New Roman" w:hAnsi="Times New Roman" w:cs="B Mitra"/>
          <w:color w:val="000000"/>
          <w:sz w:val="24"/>
          <w:szCs w:val="24"/>
        </w:rPr>
        <w:fldChar w:fldCharType="end"/>
      </w:r>
      <w:bookmarkEnd w:id="69"/>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ناواقع‌گرايان، نه در نظر و نه در عمل نمي‌توانند ملتزم به مبناي خود شوند و مبناي خود را نقض مي‌كنند. براي مثال،</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هابز</w:t>
      </w:r>
      <w:r w:rsidRPr="00286172">
        <w:rPr>
          <w:rFonts w:ascii="Cambria" w:eastAsia="Times New Roman" w:hAnsi="Cambria" w:cs="Cambria" w:hint="cs"/>
          <w:i/>
          <w:iCs/>
          <w:color w:val="000000"/>
          <w:sz w:val="24"/>
          <w:szCs w:val="24"/>
          <w:rtl/>
        </w:rPr>
        <w:t> </w:t>
      </w:r>
      <w:r w:rsidRPr="00286172">
        <w:rPr>
          <w:rFonts w:ascii="Times New Roman" w:eastAsia="Times New Roman" w:hAnsi="Times New Roman" w:cs="B Mitra" w:hint="cs"/>
          <w:color w:val="000000"/>
          <w:sz w:val="24"/>
          <w:szCs w:val="24"/>
          <w:rtl/>
        </w:rPr>
        <w:t>قراردادگراست؛ يعني معتقد است كه منشأ احكام اخلاقي و معيار صدق و كذب و ارزش‌گذاري گزاره‌‌هاي اخلاقي، قرارداد است. البته قرارداد را بر منافع جمعي، مبتني مي‌كند و معتقد مي‌شود كه اگر باور اخلاقي در خدمت تأمين منافع افراد باشد، موجه است</w:t>
      </w:r>
      <w:r w:rsidRPr="00286172">
        <w:rPr>
          <w:rFonts w:ascii="Times New Roman" w:eastAsia="Times New Roman" w:hAnsi="Times New Roman" w:cs="B Mitra" w:hint="cs"/>
          <w:color w:val="000000"/>
          <w:sz w:val="24"/>
          <w:szCs w:val="24"/>
        </w:rPr>
        <w:t>.</w:t>
      </w:r>
      <w:bookmarkStart w:id="70" w:name="_ednref68"/>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68</w:t>
      </w:r>
      <w:r w:rsidRPr="00286172">
        <w:rPr>
          <w:rFonts w:ascii="Times New Roman" w:eastAsia="Times New Roman" w:hAnsi="Times New Roman" w:cs="B Mitra"/>
          <w:color w:val="000000"/>
          <w:sz w:val="24"/>
          <w:szCs w:val="24"/>
        </w:rPr>
        <w:fldChar w:fldCharType="end"/>
      </w:r>
      <w:bookmarkEnd w:id="70"/>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آيا اين چيزي جز سودگرايي و واقع‌گرايي است كه مي‌گوييد اگر افراد اين قوانين را رعايت نكنند به هرج و مرج منجر خواهد شد؛ يعني خوب، چيزي است كه به نفع انسان باشد، نه اينكه خوب بدين معنا باشد كه مطابق قرارداد است. اگر توافق شده است كه وفاي به عهد خوب است خوبي آن به سبب نفع آن است، نه قرارداد. آيا اين تناقض نيست كه از يك‌سو بگوييم ارزش‌‌هاي اخلاقي هيچ عينيتي ندارند و چيزي ارزش ذاتي ندارند و از سوي ديگر، قائل شويم كه چون اين قرارداد‌‌ها ما را به نفع مي‌رسانند و ما را در وضعيت بهتري قرار مي‌دهند، پس خوب هستند. با اينكه عدالت خوب نيست و ظلم ذاتاً بد نيست، اما براي تأمين منافع، قرارداد مي‌كنيم كه خوب يا بد باشند. پس شما براي سود و منفعت، ارزش ذاتي قائل شده‌ايد. اگر منفعت افراد با عدالت تزاحم كند، كدام‌يك ترجيح خواهد داشت؟ اين نظريه براي چنين شرايطي راه حل ارائه ننموده است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شواهد نيز نشان مي‌دهد كه ما به طور طبيعي ديدگاهي واقع‌گرايانه داريم</w:t>
      </w:r>
      <w:r w:rsidRPr="00286172">
        <w:rPr>
          <w:rFonts w:ascii="Times New Roman" w:eastAsia="Times New Roman" w:hAnsi="Times New Roman" w:cs="B Mitra" w:hint="cs"/>
          <w:color w:val="000000"/>
          <w:sz w:val="24"/>
          <w:szCs w:val="24"/>
        </w:rPr>
        <w:t>.</w:t>
      </w:r>
      <w:bookmarkStart w:id="71" w:name="_ednref69"/>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"_edn69"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69</w:t>
      </w:r>
      <w:r w:rsidRPr="00286172">
        <w:rPr>
          <w:rFonts w:ascii="Times New Roman" w:eastAsia="Times New Roman" w:hAnsi="Times New Roman" w:cs="B Mitra"/>
          <w:color w:val="000000"/>
          <w:sz w:val="24"/>
          <w:szCs w:val="24"/>
        </w:rPr>
        <w:fldChar w:fldCharType="end"/>
      </w:r>
      <w:bookmarkEnd w:id="71"/>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از جمله شواهد اين است كه وجود تزاحمات اخلاقي را پذيرفته و به ارائه راه حل و استدلال براي ترجيح يك طرف مي‌پردازيم. اينكه انسان‌‌ها بعضي از انواع زندگي را ارزشمند‌تر از بعض ديگر مي‌دانند و اينكه آنها به تربيت خود و فرزندان همت مي‌گمارند، با ناواقع‌گرايي كه لازمه‌اش نسبي‌گرايي است، سازگار نيست</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آيا پس از ادراك اينكه ارزش، جزئي از جهان واقعي نيست و ما آن را جعل مي‌كنيم، هم‌چنان مي‌توانيم به ارزش‌‌هاي متنوع خويش مقيد باشيم؟ يعني نسبت بدان‌ها دغدغه داشته باشيم؟ اگر معتقد نباشيم كه اهداف ما ارزشي مستقل از ميل ما به تحقق آنها دارند، آن‌گاه آن اهداف و حتي خود زندگي احتمالاً بي‌معنا خواهند شد. و اگر كساني، مانند برخي اگزيستانسياليست‌‌ها، اين پيامد را بپذيرند كه زندگي بي‌معناست، آن‌گاه يا بايد به يك سلسله انتخاب‌‌هاي بي‌پايان در زندگي دست بزنيم يا گزينه نهايي، يعني خودكشي را انتخاب كنيم</w:t>
      </w:r>
      <w:r w:rsidRPr="00286172">
        <w:rPr>
          <w:rFonts w:ascii="Times New Roman" w:eastAsia="Times New Roman" w:hAnsi="Times New Roman" w:cs="B Mitra" w:hint="cs"/>
          <w:color w:val="000000"/>
          <w:sz w:val="24"/>
          <w:szCs w:val="24"/>
        </w:rPr>
        <w:t>.</w:t>
      </w:r>
      <w:bookmarkStart w:id="72" w:name="_ednref70"/>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"_edn70"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70</w:t>
      </w:r>
      <w:r w:rsidRPr="00286172">
        <w:rPr>
          <w:rFonts w:ascii="Times New Roman" w:eastAsia="Times New Roman" w:hAnsi="Times New Roman" w:cs="B Mitra"/>
          <w:color w:val="000000"/>
          <w:sz w:val="24"/>
          <w:szCs w:val="24"/>
        </w:rPr>
        <w:fldChar w:fldCharType="end"/>
      </w:r>
      <w:bookmarkEnd w:id="72"/>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در چنين وضعيتي كه زندگي بي‌معناست، اخلاقي هم مطرح نيست تا دو امر اخلاقي با هم تزاحم كرده و ما در جست‌وجوي راه حلي براي رفع آن باشيم</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اگر كاركرد گزاره‌‌‌هاي اخلاقي تنها ابراز احساسات يا دستور صرف باشد، آيا بدين معناست كه اين ابراز احساسات يا دستور‌‌ها گزافه هستند و بي‌هيچ دليل خاصي در ديگران اثرگذار است؟ يقيناً اگر مصالح و مفاسد واقعي وجود نداشته باشد كسي تابع احساس و دستور ديگران نمي‌شود. ما از دستورات و احساسات ديگران تبعيت نمي‌كنيم، بلكه از واقعيات نهفته در وراي آنها پيروي مي‌كنيم. شخص صادر‌كننده اوامر نيز قطعاً معيارهايي را براي اين كار در نظر مي‌گيرد، از اين‌رو، به كاري كه مصلحت شخص نباشد يا توانايي انجامش را نداشته باشد، امر نمي‌كند، چون مي‌داند كه انكار خواهد شد. بنابراين، دستور و انشا متوقف بر پيش‌فرض‌هايي است كه آن را استدلال‌پذير مي‌كنند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نتيجه‌گيري</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lastRenderedPageBreak/>
        <w:t>حاصل سخن اينكه حل مسائل اخلاق كاربردي، وابستگي تام به تحليل درست مسائل فرااخلاق،‌ به ويژه مسئلة واقع‌گرايي اخلاقي دارد، به گونه‌اي كه بدون اتخاذ رويكردي صحيح در اين موضوع نمي‌توان شيوه‌اي معقول را براي حل معضلات اخلاقي، خصوصاً تزاحمات اخلاقي ارائه كرد، چراكه هر شاخه از علم، مباني و مبادي خاصي دارد كه استحكام يا عدم استحكام آنها در آن شاخه، نمود مي‌يابد. مبادي تصوري و تصديقي اخلاق كاربردي نيز در فرا اخلاق تحليل مي‌شود. واقع‌گرايي از جمله آن مبادي است كه تشكيك در آن، اخلاق كاربردي را به بي‌راهه مي‌كشاند، بلكه مي‌توان ادعا كرد كه با انكار آن و پذيرش ناواقع‌گرايي با هر تفسيرش، اخلاق كاربردي نابود خواهد شد، هر چند طرف‌دارانش آگاهي يا التزامي به اين نتيجه نداشته باشند</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286172">
        <w:rPr>
          <w:rFonts w:ascii="Times New Roman" w:eastAsia="Times New Roman" w:hAnsi="Times New Roman" w:cs="B Titr" w:hint="cs"/>
          <w:b/>
          <w:bCs/>
          <w:color w:val="000000"/>
          <w:sz w:val="28"/>
          <w:szCs w:val="28"/>
          <w:rtl/>
        </w:rPr>
        <w:t>منابع</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اتکينسون، آر. اف،</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 به فلسفه اخلاق</w:t>
      </w:r>
      <w:r w:rsidRPr="00286172">
        <w:rPr>
          <w:rFonts w:ascii="Times New Roman" w:eastAsia="Times New Roman" w:hAnsi="Times New Roman" w:cs="B Mitra" w:hint="cs"/>
          <w:color w:val="000000"/>
          <w:sz w:val="24"/>
          <w:szCs w:val="24"/>
          <w:rtl/>
        </w:rPr>
        <w:t>، ترجمه سهراب علوي نيا، تهران، مرکز ترجمه و نشرکتاب، 1370</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احمدحسين شريفي،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چيستي اخلاق کاربردي</w:t>
      </w:r>
      <w:r w:rsidRPr="00286172">
        <w:rPr>
          <w:rFonts w:ascii="Times New Roman" w:eastAsia="Times New Roman" w:hAnsi="Times New Roman" w:cs="B Mitra" w:hint="cs"/>
          <w:color w:val="000000"/>
          <w:sz w:val="24"/>
          <w:szCs w:val="24"/>
          <w:rtl/>
        </w:rPr>
        <w:t>،</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معرفت اخلاقي</w:t>
      </w:r>
      <w:r w:rsidRPr="00286172">
        <w:rPr>
          <w:rFonts w:ascii="Times New Roman" w:eastAsia="Times New Roman" w:hAnsi="Times New Roman" w:cs="B Mitra" w:hint="cs"/>
          <w:color w:val="000000"/>
          <w:sz w:val="24"/>
          <w:szCs w:val="24"/>
          <w:rtl/>
        </w:rPr>
        <w:t>، ش 7، تابستان 1390</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ادوارد مور، جورج</w:t>
      </w:r>
      <w:r w:rsidRPr="00286172">
        <w:rPr>
          <w:rFonts w:ascii="Times New Roman" w:eastAsia="Times New Roman" w:hAnsi="Times New Roman" w:cs="B Mitra" w:hint="cs"/>
          <w:b/>
          <w:bCs/>
          <w:i/>
          <w:iCs/>
          <w:color w:val="000000"/>
          <w:sz w:val="24"/>
          <w:szCs w:val="24"/>
          <w:rtl/>
        </w:rPr>
        <w:t>، اخلاق</w:t>
      </w:r>
      <w:r w:rsidRPr="00286172">
        <w:rPr>
          <w:rFonts w:ascii="Times New Roman" w:eastAsia="Times New Roman" w:hAnsi="Times New Roman" w:cs="B Mitra" w:hint="cs"/>
          <w:color w:val="000000"/>
          <w:sz w:val="24"/>
          <w:szCs w:val="24"/>
          <w:rtl/>
        </w:rPr>
        <w:t>، ترجمه اسماعيل سعادت، بي‌جا، علمي و فرهنگي، 1366</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جمعي از نويسندگان، «مقالاتي در باب اخلاق هنجاري</w:t>
      </w:r>
      <w:r w:rsidRPr="00286172">
        <w:rPr>
          <w:rFonts w:ascii="Times New Roman" w:eastAsia="Times New Roman" w:hAnsi="Times New Roman" w:cs="B Mitra" w:hint="cs"/>
          <w:color w:val="000000"/>
          <w:sz w:val="24"/>
          <w:szCs w:val="24"/>
        </w:rPr>
        <w:t>»</w:t>
      </w:r>
      <w:r w:rsidRPr="00286172">
        <w:rPr>
          <w:rFonts w:ascii="Times New Roman" w:eastAsia="Times New Roman" w:hAnsi="Times New Roman" w:cs="B Mitra" w:hint="cs"/>
          <w:b/>
          <w:bCs/>
          <w:i/>
          <w:iCs/>
          <w:color w:val="000000"/>
          <w:sz w:val="24"/>
          <w:szCs w:val="24"/>
          <w:rtl/>
        </w:rPr>
        <w:t>، اخلاق کاربردي و فرااخلاق</w:t>
      </w:r>
      <w:r w:rsidRPr="00286172">
        <w:rPr>
          <w:rFonts w:ascii="Times New Roman" w:eastAsia="Times New Roman" w:hAnsi="Times New Roman" w:cs="B Mitra" w:hint="cs"/>
          <w:color w:val="000000"/>
          <w:sz w:val="24"/>
          <w:szCs w:val="24"/>
          <w:rtl/>
        </w:rPr>
        <w:t>، ترجمه محمود فتحعلي، قم، دفتر نشر معارف، 1387</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حسيني قلعه‌بهمن، سيد‌اکبر</w:t>
      </w:r>
      <w:r w:rsidRPr="00286172">
        <w:rPr>
          <w:rFonts w:ascii="Times New Roman" w:eastAsia="Times New Roman" w:hAnsi="Times New Roman" w:cs="B Mitra" w:hint="cs"/>
          <w:b/>
          <w:bCs/>
          <w:i/>
          <w:iCs/>
          <w:color w:val="000000"/>
          <w:sz w:val="24"/>
          <w:szCs w:val="24"/>
          <w:rtl/>
        </w:rPr>
        <w:t>، واقع‌گرايي اخلاقي در نيمه دوم قرن بيستم</w:t>
      </w:r>
      <w:r w:rsidRPr="00286172">
        <w:rPr>
          <w:rFonts w:ascii="Times New Roman" w:eastAsia="Times New Roman" w:hAnsi="Times New Roman" w:cs="B Mitra" w:hint="cs"/>
          <w:color w:val="000000"/>
          <w:sz w:val="24"/>
          <w:szCs w:val="24"/>
          <w:rtl/>
        </w:rPr>
        <w:t>، قم، مؤسسه آموزشي و پژوهشي امام خميني(ره)، 1383</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حكيم، محمدسعيد،</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المحكمفي اصول الفقه</w:t>
      </w:r>
      <w:r w:rsidRPr="00286172">
        <w:rPr>
          <w:rFonts w:ascii="Times New Roman" w:eastAsia="Times New Roman" w:hAnsi="Times New Roman" w:cs="B Mitra" w:hint="cs"/>
          <w:color w:val="000000"/>
          <w:sz w:val="24"/>
          <w:szCs w:val="24"/>
          <w:rtl/>
        </w:rPr>
        <w:t>، قم، موسسه المنار، 1414ق</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خواص و ديگران</w:t>
      </w:r>
      <w:r w:rsidRPr="00286172">
        <w:rPr>
          <w:rFonts w:ascii="Times New Roman" w:eastAsia="Times New Roman" w:hAnsi="Times New Roman" w:cs="B Mitra" w:hint="cs"/>
          <w:b/>
          <w:bCs/>
          <w:i/>
          <w:iCs/>
          <w:color w:val="000000"/>
          <w:sz w:val="24"/>
          <w:szCs w:val="24"/>
          <w:rtl/>
        </w:rPr>
        <w:t>، فلسفه اخلاق با تکيه بر مباحث تربيتي</w:t>
      </w:r>
      <w:r w:rsidRPr="00286172">
        <w:rPr>
          <w:rFonts w:ascii="Times New Roman" w:eastAsia="Times New Roman" w:hAnsi="Times New Roman" w:cs="B Mitra" w:hint="cs"/>
          <w:color w:val="000000"/>
          <w:sz w:val="24"/>
          <w:szCs w:val="24"/>
          <w:rtl/>
        </w:rPr>
        <w:t>، قم، دفتر نشر معارف، 1385</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دباغ، سروش،</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عام و خاص در اخلاق</w:t>
      </w:r>
      <w:r w:rsidRPr="00286172">
        <w:rPr>
          <w:rFonts w:ascii="Times New Roman" w:eastAsia="Times New Roman" w:hAnsi="Times New Roman" w:cs="B Mitra" w:hint="cs"/>
          <w:color w:val="000000"/>
          <w:sz w:val="24"/>
          <w:szCs w:val="24"/>
          <w:rtl/>
        </w:rPr>
        <w:t>، تهران، هرمس، 1388</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رهنمايي، سيد‌احمد،</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درآمديبر مباني ارزش‌ها</w:t>
      </w:r>
      <w:r w:rsidRPr="00286172">
        <w:rPr>
          <w:rFonts w:ascii="Times New Roman" w:eastAsia="Times New Roman" w:hAnsi="Times New Roman" w:cs="B Mitra" w:hint="cs"/>
          <w:color w:val="000000"/>
          <w:sz w:val="24"/>
          <w:szCs w:val="24"/>
          <w:rtl/>
        </w:rPr>
        <w:t>، قم، مؤسسه امام خميني(ره)، 1383</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شريفي، احمدحسين</w:t>
      </w:r>
      <w:r w:rsidRPr="00286172">
        <w:rPr>
          <w:rFonts w:ascii="Times New Roman" w:eastAsia="Times New Roman" w:hAnsi="Times New Roman" w:cs="B Mitra" w:hint="cs"/>
          <w:b/>
          <w:bCs/>
          <w:i/>
          <w:iCs/>
          <w:color w:val="000000"/>
          <w:sz w:val="24"/>
          <w:szCs w:val="24"/>
          <w:rtl/>
        </w:rPr>
        <w:t>، خوب چيست؟ بد کدام است؟</w:t>
      </w:r>
      <w:r w:rsidRPr="00286172">
        <w:rPr>
          <w:rFonts w:ascii="Times New Roman" w:eastAsia="Times New Roman" w:hAnsi="Times New Roman" w:cs="B Mitra" w:hint="cs"/>
          <w:color w:val="000000"/>
          <w:sz w:val="24"/>
          <w:szCs w:val="24"/>
          <w:rtl/>
        </w:rPr>
        <w:t>، قم، مؤسسه آموزشي و پژوهشي امام خميني(ره)،1388</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فرانکنا، ويليامکي</w:t>
      </w:r>
      <w:r w:rsidRPr="00286172">
        <w:rPr>
          <w:rFonts w:ascii="Times New Roman" w:eastAsia="Times New Roman" w:hAnsi="Times New Roman" w:cs="B Mitra" w:hint="cs"/>
          <w:b/>
          <w:bCs/>
          <w:i/>
          <w:iCs/>
          <w:color w:val="000000"/>
          <w:sz w:val="24"/>
          <w:szCs w:val="24"/>
          <w:rtl/>
        </w:rPr>
        <w:t>، فلسفه اخلاق</w:t>
      </w:r>
      <w:r w:rsidRPr="00286172">
        <w:rPr>
          <w:rFonts w:ascii="Times New Roman" w:eastAsia="Times New Roman" w:hAnsi="Times New Roman" w:cs="B Mitra" w:hint="cs"/>
          <w:color w:val="000000"/>
          <w:sz w:val="24"/>
          <w:szCs w:val="24"/>
          <w:rtl/>
        </w:rPr>
        <w:t>، ترجمه هادي صادقي، قم، طه، 1376</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فرهادي، يدالله</w:t>
      </w:r>
      <w:r w:rsidRPr="00286172">
        <w:rPr>
          <w:rFonts w:ascii="Times New Roman" w:eastAsia="Times New Roman" w:hAnsi="Times New Roman" w:cs="B Mitra" w:hint="cs"/>
          <w:b/>
          <w:bCs/>
          <w:i/>
          <w:iCs/>
          <w:color w:val="000000"/>
          <w:sz w:val="24"/>
          <w:szCs w:val="24"/>
          <w:rtl/>
        </w:rPr>
        <w:t>، اخلاق حرفه‌اي در بهداشت روان</w:t>
      </w:r>
      <w:r w:rsidRPr="00286172">
        <w:rPr>
          <w:rFonts w:ascii="Times New Roman" w:eastAsia="Times New Roman" w:hAnsi="Times New Roman" w:cs="B Mitra" w:hint="cs"/>
          <w:color w:val="000000"/>
          <w:sz w:val="24"/>
          <w:szCs w:val="24"/>
          <w:rtl/>
        </w:rPr>
        <w:t>، تهران، اطلاعات، 1386</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فياض، محمداسحاق،</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محاضرات في اصول الفقه</w:t>
      </w:r>
      <w:r w:rsidRPr="00286172">
        <w:rPr>
          <w:rFonts w:ascii="Times New Roman" w:eastAsia="Times New Roman" w:hAnsi="Times New Roman" w:cs="B Mitra" w:hint="cs"/>
          <w:color w:val="000000"/>
          <w:sz w:val="24"/>
          <w:szCs w:val="24"/>
          <w:rtl/>
        </w:rPr>
        <w:t>، تقريرات بحث آيت‌الله‌العظمي خوئي، قم، دار الهدي للمطبوعات، 1410ق</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قراملکي، احد فرامرز ،</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 بر اخلاق حرفه اي</w:t>
      </w:r>
      <w:r w:rsidRPr="00286172">
        <w:rPr>
          <w:rFonts w:ascii="Times New Roman" w:eastAsia="Times New Roman" w:hAnsi="Times New Roman" w:cs="B Mitra" w:hint="cs"/>
          <w:color w:val="000000"/>
          <w:sz w:val="24"/>
          <w:szCs w:val="24"/>
          <w:rtl/>
        </w:rPr>
        <w:t>، تهران، سرآمد، 1389</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ـــــ،</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اخلاق حرفه‌اي</w:t>
      </w:r>
      <w:r w:rsidRPr="00286172">
        <w:rPr>
          <w:rFonts w:ascii="Times New Roman" w:eastAsia="Times New Roman" w:hAnsi="Times New Roman" w:cs="B Mitra" w:hint="cs"/>
          <w:color w:val="000000"/>
          <w:sz w:val="24"/>
          <w:szCs w:val="24"/>
          <w:rtl/>
        </w:rPr>
        <w:t>، تهران، احد فرامرزقراملكي، 1382</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گروهي ازمترجمان، «مجموعه مقالات فلسفه اخلاق برگرفته از دائرة‌المعارف فلسفه اخلاق»، والتر سينت آرمسترانگ،</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معضلات اخلاقي</w:t>
      </w:r>
      <w:r w:rsidRPr="00286172">
        <w:rPr>
          <w:rFonts w:ascii="Times New Roman" w:eastAsia="Times New Roman" w:hAnsi="Times New Roman" w:cs="B Mitra" w:hint="cs"/>
          <w:color w:val="000000"/>
          <w:sz w:val="24"/>
          <w:szCs w:val="24"/>
          <w:rtl/>
        </w:rPr>
        <w:t>، ترجمه احمدحسين شريفي</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lastRenderedPageBreak/>
        <w:t>لنکراني، فاضل</w:t>
      </w:r>
      <w:r w:rsidRPr="00286172">
        <w:rPr>
          <w:rFonts w:ascii="Times New Roman" w:eastAsia="Times New Roman" w:hAnsi="Times New Roman" w:cs="B Mitra" w:hint="cs"/>
          <w:b/>
          <w:bCs/>
          <w:i/>
          <w:iCs/>
          <w:color w:val="000000"/>
          <w:sz w:val="24"/>
          <w:szCs w:val="24"/>
          <w:rtl/>
        </w:rPr>
        <w:t>، سيري کامل</w:t>
      </w:r>
      <w:r w:rsidRPr="00286172">
        <w:rPr>
          <w:rFonts w:ascii="Cambria" w:eastAsia="Times New Roman" w:hAnsi="Cambria" w:cs="Cambria" w:hint="cs"/>
          <w:i/>
          <w:iCs/>
          <w:color w:val="000000"/>
          <w:sz w:val="24"/>
          <w:szCs w:val="24"/>
          <w:rtl/>
        </w:rPr>
        <w:t> </w:t>
      </w:r>
      <w:r w:rsidRPr="00286172">
        <w:rPr>
          <w:rFonts w:ascii="Times New Roman" w:eastAsia="Times New Roman" w:hAnsi="Times New Roman" w:cs="B Mitra" w:hint="cs"/>
          <w:i/>
          <w:iCs/>
          <w:color w:val="000000"/>
          <w:sz w:val="24"/>
          <w:szCs w:val="24"/>
          <w:rtl/>
        </w:rPr>
        <w:t>در اصول فقه</w:t>
      </w:r>
      <w:r w:rsidRPr="00286172">
        <w:rPr>
          <w:rFonts w:ascii="Times New Roman" w:eastAsia="Times New Roman" w:hAnsi="Times New Roman" w:cs="B Mitra" w:hint="cs"/>
          <w:color w:val="000000"/>
          <w:sz w:val="24"/>
          <w:szCs w:val="24"/>
          <w:rtl/>
        </w:rPr>
        <w:t>، قم، فيضيه، 1378</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محمدتقي اسلامي و ديگران،</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i/>
          <w:iCs/>
          <w:color w:val="000000"/>
          <w:sz w:val="24"/>
          <w:szCs w:val="24"/>
          <w:rtl/>
        </w:rPr>
        <w:t>اخلاق کاربردي، چالش‌ها و کاوش‌هاي نوين در اخلاق عملي</w:t>
      </w:r>
      <w:r w:rsidRPr="00286172">
        <w:rPr>
          <w:rFonts w:ascii="Times New Roman" w:eastAsia="Times New Roman" w:hAnsi="Times New Roman" w:cs="B Mitra" w:hint="cs"/>
          <w:color w:val="000000"/>
          <w:sz w:val="24"/>
          <w:szCs w:val="24"/>
          <w:rtl/>
        </w:rPr>
        <w:t>، قم، پژوهشگاه علوم و فرهنگ اسلامي، 1386</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مصباح يزدي، محمدتقي،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دروس فلسفه اخلاق</w:t>
      </w:r>
      <w:r w:rsidRPr="00286172">
        <w:rPr>
          <w:rFonts w:ascii="Times New Roman" w:eastAsia="Times New Roman" w:hAnsi="Times New Roman" w:cs="B Mitra" w:hint="cs"/>
          <w:color w:val="000000"/>
          <w:sz w:val="24"/>
          <w:szCs w:val="24"/>
          <w:rtl/>
        </w:rPr>
        <w:t>، تهران، اطلاعات، 1374</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ـــــ،</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w:t>
      </w:r>
      <w:r w:rsidRPr="00286172">
        <w:rPr>
          <w:rFonts w:ascii="Times New Roman" w:eastAsia="Times New Roman" w:hAnsi="Times New Roman" w:cs="B Mitra" w:hint="cs"/>
          <w:color w:val="000000"/>
          <w:sz w:val="24"/>
          <w:szCs w:val="24"/>
          <w:rtl/>
        </w:rPr>
        <w:t>، تهران، اطلاعات، 1370</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ـــــ،</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نقد و بررسي مکاتب اخلاقي</w:t>
      </w:r>
      <w:r w:rsidRPr="00286172">
        <w:rPr>
          <w:rFonts w:ascii="Times New Roman" w:eastAsia="Times New Roman" w:hAnsi="Times New Roman" w:cs="B Mitra" w:hint="cs"/>
          <w:color w:val="000000"/>
          <w:sz w:val="24"/>
          <w:szCs w:val="24"/>
          <w:rtl/>
        </w:rPr>
        <w:t>، تحقيق و نگارش احمدحسين شريفي، قم، موسسه آموزشي و پژوهشي امام خميني(ره)، 1384</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مصباح، مجتبي</w:t>
      </w:r>
      <w:r w:rsidRPr="00286172">
        <w:rPr>
          <w:rFonts w:ascii="Times New Roman" w:eastAsia="Times New Roman" w:hAnsi="Times New Roman" w:cs="B Mitra" w:hint="cs"/>
          <w:b/>
          <w:bCs/>
          <w:i/>
          <w:iCs/>
          <w:color w:val="000000"/>
          <w:sz w:val="24"/>
          <w:szCs w:val="24"/>
          <w:rtl/>
        </w:rPr>
        <w:t>، بنياداخلاق، روشي نو در آموزش فلسفه اخلاق</w:t>
      </w:r>
      <w:r w:rsidRPr="00286172">
        <w:rPr>
          <w:rFonts w:ascii="Times New Roman" w:eastAsia="Times New Roman" w:hAnsi="Times New Roman" w:cs="B Mitra" w:hint="cs"/>
          <w:color w:val="000000"/>
          <w:sz w:val="24"/>
          <w:szCs w:val="24"/>
          <w:rtl/>
        </w:rPr>
        <w:t>، قم، موسسه آموزشي و پژوهشي امام خميني(ره)، 1385</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ـــــ،</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w:t>
      </w:r>
      <w:r w:rsidRPr="00286172">
        <w:rPr>
          <w:rFonts w:ascii="Times New Roman" w:eastAsia="Times New Roman" w:hAnsi="Times New Roman" w:cs="B Mitra" w:hint="cs"/>
          <w:color w:val="000000"/>
          <w:sz w:val="24"/>
          <w:szCs w:val="24"/>
          <w:rtl/>
        </w:rPr>
        <w:t>، قم، مؤسسه آموزشي و پژوهشي امام خميني(ره)، 1378</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مطهري، مرتضي</w:t>
      </w:r>
      <w:r w:rsidRPr="00286172">
        <w:rPr>
          <w:rFonts w:ascii="Times New Roman" w:eastAsia="Times New Roman" w:hAnsi="Times New Roman" w:cs="B Mitra" w:hint="cs"/>
          <w:b/>
          <w:bCs/>
          <w:i/>
          <w:iCs/>
          <w:color w:val="000000"/>
          <w:sz w:val="24"/>
          <w:szCs w:val="24"/>
          <w:rtl/>
        </w:rPr>
        <w:t>، فطرت</w:t>
      </w:r>
      <w:r w:rsidRPr="00286172">
        <w:rPr>
          <w:rFonts w:ascii="Times New Roman" w:eastAsia="Times New Roman" w:hAnsi="Times New Roman" w:cs="B Mitra" w:hint="cs"/>
          <w:color w:val="000000"/>
          <w:sz w:val="24"/>
          <w:szCs w:val="24"/>
          <w:rtl/>
        </w:rPr>
        <w:t>، تهران، صدرا، 1389</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مکناوتن، ديويد،</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نگاه اخلاقي، درآمدي به فلسفه اخلاق</w:t>
      </w:r>
      <w:r w:rsidRPr="00286172">
        <w:rPr>
          <w:rFonts w:ascii="Times New Roman" w:eastAsia="Times New Roman" w:hAnsi="Times New Roman" w:cs="B Mitra" w:hint="cs"/>
          <w:color w:val="000000"/>
          <w:sz w:val="24"/>
          <w:szCs w:val="24"/>
          <w:rtl/>
        </w:rPr>
        <w:t>، ترجمه دکتر حسن ميان‌داري، تهران، سمت، 1383</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وارنوک، مري،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 در قرن بيستم</w:t>
      </w:r>
      <w:r w:rsidRPr="00286172">
        <w:rPr>
          <w:rFonts w:ascii="Times New Roman" w:eastAsia="Times New Roman" w:hAnsi="Times New Roman" w:cs="B Mitra" w:hint="cs"/>
          <w:color w:val="000000"/>
          <w:sz w:val="24"/>
          <w:szCs w:val="24"/>
          <w:rtl/>
        </w:rPr>
        <w:t>، ترجمه ابوالقاسم فنايي، قم، بوستان کتاب، 1380</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ويليامز، برنارد،</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w:t>
      </w:r>
      <w:r w:rsidRPr="00286172">
        <w:rPr>
          <w:rFonts w:ascii="Times New Roman" w:eastAsia="Times New Roman" w:hAnsi="Times New Roman" w:cs="B Mitra" w:hint="cs"/>
          <w:color w:val="000000"/>
          <w:sz w:val="24"/>
          <w:szCs w:val="24"/>
          <w:rtl/>
        </w:rPr>
        <w:t>، ترجمه زهرا جلالي، قم، دفترنشرمعارف، 1383. (يادداشت‌هاي مترجم</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tl/>
        </w:rPr>
        <w:t>هولمز، رابرت،</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مباني فلسفه اخلاق،</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color w:val="000000"/>
          <w:sz w:val="24"/>
          <w:szCs w:val="24"/>
          <w:rtl/>
        </w:rPr>
        <w:t>ترجمه مسعود عليا، تهران، ققنوس، 1382</w:t>
      </w:r>
      <w:r w:rsidRPr="00286172">
        <w:rPr>
          <w:rFonts w:ascii="Times New Roman" w:eastAsia="Times New Roman" w:hAnsi="Times New Roman" w:cs="B Mitra" w:hint="cs"/>
          <w:color w:val="000000"/>
          <w:sz w:val="24"/>
          <w:szCs w:val="24"/>
        </w:rPr>
        <w:t>.</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Pr>
        <w:t>Beckwith, Francis. J, Do the Right Things, A Philosophical Dialogue on the Moral and Social Issue of Our Time, U.S.A, university of Nevada, Las Vegas, 1995, p 45</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Pr>
        <w:t>Frey, R.G et al, </w:t>
      </w:r>
      <w:r w:rsidRPr="00286172">
        <w:rPr>
          <w:rFonts w:ascii="Times New Roman" w:eastAsia="Times New Roman" w:hAnsi="Times New Roman" w:cs="B Mitra" w:hint="cs"/>
          <w:i/>
          <w:iCs/>
          <w:color w:val="000000"/>
          <w:sz w:val="24"/>
          <w:szCs w:val="24"/>
        </w:rPr>
        <w:t>A companion to applied ethics</w:t>
      </w:r>
      <w:r w:rsidRPr="00286172">
        <w:rPr>
          <w:rFonts w:ascii="Times New Roman" w:eastAsia="Times New Roman" w:hAnsi="Times New Roman" w:cs="B Mitra" w:hint="cs"/>
          <w:color w:val="000000"/>
          <w:sz w:val="24"/>
          <w:szCs w:val="24"/>
        </w:rPr>
        <w:t>, (</w:t>
      </w:r>
      <w:proofErr w:type="spellStart"/>
      <w:r w:rsidRPr="00286172">
        <w:rPr>
          <w:rFonts w:ascii="Times New Roman" w:eastAsia="Times New Roman" w:hAnsi="Times New Roman" w:cs="B Mitra" w:hint="cs"/>
          <w:color w:val="000000"/>
          <w:sz w:val="24"/>
          <w:szCs w:val="24"/>
        </w:rPr>
        <w:t>MA</w:t>
      </w:r>
      <w:proofErr w:type="gramStart"/>
      <w:r w:rsidRPr="00286172">
        <w:rPr>
          <w:rFonts w:ascii="Times New Roman" w:eastAsia="Times New Roman" w:hAnsi="Times New Roman" w:cs="B Mitra" w:hint="cs"/>
          <w:color w:val="000000"/>
          <w:sz w:val="24"/>
          <w:szCs w:val="24"/>
        </w:rPr>
        <w:t>,Blackwell</w:t>
      </w:r>
      <w:proofErr w:type="spellEnd"/>
      <w:proofErr w:type="gramEnd"/>
      <w:r w:rsidRPr="00286172">
        <w:rPr>
          <w:rFonts w:ascii="Times New Roman" w:eastAsia="Times New Roman" w:hAnsi="Times New Roman" w:cs="B Mitra" w:hint="cs"/>
          <w:color w:val="000000"/>
          <w:sz w:val="24"/>
          <w:szCs w:val="24"/>
        </w:rPr>
        <w:t xml:space="preserve"> publishing, 2005)</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Pr>
        <w:t>Harris, C. E, </w:t>
      </w:r>
      <w:r w:rsidRPr="00286172">
        <w:rPr>
          <w:rFonts w:ascii="Times New Roman" w:eastAsia="Times New Roman" w:hAnsi="Times New Roman" w:cs="B Mitra" w:hint="cs"/>
          <w:i/>
          <w:iCs/>
          <w:color w:val="000000"/>
          <w:sz w:val="24"/>
          <w:szCs w:val="24"/>
        </w:rPr>
        <w:t>Applying Moral Theories</w:t>
      </w:r>
      <w:r w:rsidRPr="00286172">
        <w:rPr>
          <w:rFonts w:ascii="Times New Roman" w:eastAsia="Times New Roman" w:hAnsi="Times New Roman" w:cs="B Mitra" w:hint="cs"/>
          <w:color w:val="000000"/>
          <w:sz w:val="24"/>
          <w:szCs w:val="24"/>
        </w:rPr>
        <w:t>, (U.S.A: California, Wadsworth publishing company, 1996)</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proofErr w:type="gramStart"/>
      <w:r w:rsidRPr="00286172">
        <w:rPr>
          <w:rFonts w:ascii="Times New Roman" w:eastAsia="Times New Roman" w:hAnsi="Times New Roman" w:cs="B Mitra" w:hint="cs"/>
          <w:color w:val="000000"/>
          <w:sz w:val="24"/>
          <w:szCs w:val="24"/>
        </w:rPr>
        <w:t>attiHayry</w:t>
      </w:r>
      <w:proofErr w:type="spellEnd"/>
      <w:proofErr w:type="gramEnd"/>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i/>
          <w:iCs/>
          <w:color w:val="000000"/>
          <w:sz w:val="24"/>
          <w:szCs w:val="24"/>
        </w:rPr>
        <w:t>Liberal Utilitarianism and Applied Ethics</w:t>
      </w:r>
      <w:r w:rsidRPr="00286172">
        <w:rPr>
          <w:rFonts w:ascii="Times New Roman" w:eastAsia="Times New Roman" w:hAnsi="Times New Roman" w:cs="B Mitra" w:hint="cs"/>
          <w:color w:val="000000"/>
          <w:sz w:val="24"/>
          <w:szCs w:val="24"/>
        </w:rPr>
        <w:t xml:space="preserve">,)London and New </w:t>
      </w:r>
      <w:proofErr w:type="spellStart"/>
      <w:r w:rsidRPr="00286172">
        <w:rPr>
          <w:rFonts w:ascii="Times New Roman" w:eastAsia="Times New Roman" w:hAnsi="Times New Roman" w:cs="B Mitra" w:hint="cs"/>
          <w:color w:val="000000"/>
          <w:sz w:val="24"/>
          <w:szCs w:val="24"/>
        </w:rPr>
        <w:t>York:Routledge</w:t>
      </w:r>
      <w:proofErr w:type="spellEnd"/>
      <w:r w:rsidRPr="00286172">
        <w:rPr>
          <w:rFonts w:ascii="Times New Roman" w:eastAsia="Times New Roman" w:hAnsi="Times New Roman" w:cs="B Mitra" w:hint="cs"/>
          <w:color w:val="000000"/>
          <w:sz w:val="24"/>
          <w:szCs w:val="24"/>
        </w:rPr>
        <w:t>, 1994(</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Pr>
        <w:t>Russell, Bertrand</w:t>
      </w:r>
      <w:r w:rsidRPr="00286172">
        <w:rPr>
          <w:rFonts w:ascii="Times New Roman" w:eastAsia="Times New Roman" w:hAnsi="Times New Roman" w:cs="B Mitra" w:hint="cs"/>
          <w:i/>
          <w:iCs/>
          <w:color w:val="000000"/>
          <w:sz w:val="24"/>
          <w:szCs w:val="24"/>
        </w:rPr>
        <w:t>, Human Society in Ethics and Politics</w:t>
      </w:r>
      <w:r w:rsidRPr="00286172">
        <w:rPr>
          <w:rFonts w:ascii="Times New Roman" w:eastAsia="Times New Roman" w:hAnsi="Times New Roman" w:cs="B Mitra" w:hint="cs"/>
          <w:color w:val="000000"/>
          <w:sz w:val="24"/>
          <w:szCs w:val="24"/>
        </w:rPr>
        <w:t>, (London: Rutledge, 1992</w:t>
      </w:r>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color w:val="000000"/>
          <w:sz w:val="24"/>
          <w:szCs w:val="24"/>
        </w:rPr>
        <w:t>Wong, David. B, </w:t>
      </w:r>
      <w:r w:rsidRPr="00286172">
        <w:rPr>
          <w:rFonts w:ascii="Times New Roman" w:eastAsia="Times New Roman" w:hAnsi="Times New Roman" w:cs="B Mitra" w:hint="cs"/>
          <w:i/>
          <w:iCs/>
          <w:color w:val="000000"/>
          <w:sz w:val="24"/>
          <w:szCs w:val="24"/>
        </w:rPr>
        <w:t>Moral Relativity</w:t>
      </w:r>
      <w:r w:rsidRPr="00286172">
        <w:rPr>
          <w:rFonts w:ascii="Times New Roman" w:eastAsia="Times New Roman" w:hAnsi="Times New Roman" w:cs="B Mitra" w:hint="cs"/>
          <w:color w:val="000000"/>
          <w:sz w:val="24"/>
          <w:szCs w:val="24"/>
        </w:rPr>
        <w:t>, (U.S.A: University of California, 1986)</w:t>
      </w:r>
    </w:p>
    <w:p w:rsidR="00286172" w:rsidRPr="00286172" w:rsidRDefault="00E270F2" w:rsidP="00E270F2">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5" style="width:0;height:.75pt" o:hralign="right" o:hrstd="t" o:hr="t" fillcolor="#a0a0a0" stroked="f"/>
        </w:pict>
      </w:r>
    </w:p>
    <w:bookmarkStart w:id="73" w:name="_ftn1"/>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"_ftnref1"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w:t>
      </w:r>
      <w:r w:rsidRPr="00286172">
        <w:rPr>
          <w:rFonts w:ascii="Times New Roman" w:eastAsia="Times New Roman" w:hAnsi="Times New Roman" w:cs="B Mitra"/>
          <w:color w:val="000000"/>
          <w:sz w:val="24"/>
          <w:szCs w:val="24"/>
        </w:rPr>
        <w:fldChar w:fldCharType="end"/>
      </w:r>
      <w:bookmarkEnd w:id="73"/>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 xml:space="preserve">دانشجوي دکتري مؤسسة آموزشي و پژوهشي امام </w:t>
      </w:r>
      <w:proofErr w:type="gramStart"/>
      <w:r w:rsidRPr="00286172">
        <w:rPr>
          <w:rFonts w:ascii="Times New Roman" w:eastAsia="Times New Roman" w:hAnsi="Times New Roman" w:cs="B Mitra" w:hint="cs"/>
          <w:color w:val="000000"/>
          <w:sz w:val="24"/>
          <w:szCs w:val="24"/>
          <w:rtl/>
        </w:rPr>
        <w:t>خميني(</w:t>
      </w:r>
      <w:proofErr w:type="gramEnd"/>
      <w:r w:rsidRPr="00286172">
        <w:rPr>
          <w:rFonts w:ascii="Times New Roman" w:eastAsia="Times New Roman" w:hAnsi="Times New Roman" w:cs="B Mitra" w:hint="cs"/>
          <w:color w:val="000000"/>
          <w:sz w:val="24"/>
          <w:szCs w:val="24"/>
          <w:rtl/>
        </w:rPr>
        <w:t>ره</w:t>
      </w:r>
      <w:r w:rsidRPr="00286172">
        <w:rPr>
          <w:rFonts w:ascii="Times New Roman" w:eastAsia="Times New Roman" w:hAnsi="Times New Roman" w:cs="B Mitra" w:hint="cs"/>
          <w:color w:val="000000"/>
          <w:sz w:val="24"/>
          <w:szCs w:val="24"/>
        </w:rPr>
        <w:t>) </w:t>
      </w:r>
      <w:hyperlink r:id="rId4" w:history="1">
        <w:r w:rsidRPr="00286172">
          <w:rPr>
            <w:rFonts w:ascii="Times New Roman" w:eastAsia="Times New Roman" w:hAnsi="Times New Roman" w:cs="B Mitra" w:hint="cs"/>
            <w:color w:val="000080"/>
            <w:sz w:val="24"/>
            <w:szCs w:val="24"/>
          </w:rPr>
          <w:t>Peyro114@Yahoo.com</w:t>
        </w:r>
      </w:hyperlink>
    </w:p>
    <w:bookmarkStart w:id="74" w:name="_ftn2"/>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"_ftnref2"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w:t>
      </w:r>
      <w:r w:rsidRPr="00286172">
        <w:rPr>
          <w:rFonts w:ascii="Times New Roman" w:eastAsia="Times New Roman" w:hAnsi="Times New Roman" w:cs="B Mitra"/>
          <w:color w:val="000000"/>
          <w:sz w:val="24"/>
          <w:szCs w:val="24"/>
        </w:rPr>
        <w:fldChar w:fldCharType="end"/>
      </w:r>
      <w:bookmarkEnd w:id="74"/>
      <w:r w:rsidRPr="00286172">
        <w:rPr>
          <w:rFonts w:ascii="Times New Roman" w:eastAsia="Times New Roman" w:hAnsi="Times New Roman" w:cs="B Mitra" w:hint="cs"/>
          <w:color w:val="000000"/>
          <w:sz w:val="24"/>
          <w:szCs w:val="24"/>
        </w:rPr>
        <w:t> </w:t>
      </w:r>
      <w:r w:rsidRPr="00286172">
        <w:rPr>
          <w:rFonts w:ascii="Times New Roman" w:eastAsia="Times New Roman" w:hAnsi="Times New Roman" w:cs="B Mitra" w:hint="cs"/>
          <w:color w:val="000000"/>
          <w:sz w:val="24"/>
          <w:szCs w:val="24"/>
          <w:rtl/>
        </w:rPr>
        <w:t xml:space="preserve">دانشيار مؤسسة آموزشي و پژوهشي امام </w:t>
      </w:r>
      <w:proofErr w:type="gramStart"/>
      <w:r w:rsidRPr="00286172">
        <w:rPr>
          <w:rFonts w:ascii="Times New Roman" w:eastAsia="Times New Roman" w:hAnsi="Times New Roman" w:cs="B Mitra" w:hint="cs"/>
          <w:color w:val="000000"/>
          <w:sz w:val="24"/>
          <w:szCs w:val="24"/>
          <w:rtl/>
        </w:rPr>
        <w:t>خميني(</w:t>
      </w:r>
      <w:proofErr w:type="gramEnd"/>
      <w:r w:rsidRPr="00286172">
        <w:rPr>
          <w:rFonts w:ascii="Times New Roman" w:eastAsia="Times New Roman" w:hAnsi="Times New Roman" w:cs="B Mitra" w:hint="cs"/>
          <w:color w:val="000000"/>
          <w:sz w:val="24"/>
          <w:szCs w:val="24"/>
          <w:rtl/>
        </w:rPr>
        <w:t>ره</w:t>
      </w:r>
      <w:r w:rsidRPr="00286172">
        <w:rPr>
          <w:rFonts w:ascii="Times New Roman" w:eastAsia="Times New Roman" w:hAnsi="Times New Roman" w:cs="B Mitra" w:hint="cs"/>
          <w:color w:val="000000"/>
          <w:sz w:val="24"/>
          <w:szCs w:val="24"/>
        </w:rPr>
        <w:t>) </w:t>
      </w:r>
      <w:hyperlink r:id="rId5" w:history="1">
        <w:r w:rsidRPr="00286172">
          <w:rPr>
            <w:rFonts w:ascii="Times New Roman" w:eastAsia="Times New Roman" w:hAnsi="Times New Roman" w:cs="B Mitra" w:hint="cs"/>
            <w:color w:val="000080"/>
            <w:sz w:val="24"/>
            <w:szCs w:val="24"/>
          </w:rPr>
          <w:t>sharifi1738@yahoo.com</w:t>
        </w:r>
      </w:hyperlink>
    </w:p>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hint="cs"/>
          <w:b/>
          <w:bCs/>
          <w:color w:val="000000"/>
          <w:sz w:val="24"/>
          <w:szCs w:val="24"/>
          <w:rtl/>
        </w:rPr>
        <w:lastRenderedPageBreak/>
        <w:t>دريافت</w:t>
      </w:r>
      <w:r w:rsidRPr="00286172">
        <w:rPr>
          <w:rFonts w:ascii="Times New Roman" w:eastAsia="Times New Roman" w:hAnsi="Times New Roman" w:cs="B Mitra" w:hint="cs"/>
          <w:color w:val="000000"/>
          <w:sz w:val="24"/>
          <w:szCs w:val="24"/>
        </w:rPr>
        <w:t xml:space="preserve">: 23/3/1390 </w:t>
      </w:r>
      <w:r w:rsidRPr="00286172">
        <w:rPr>
          <w:rFonts w:ascii="Times New Roman" w:eastAsia="Times New Roman" w:hAnsi="Times New Roman" w:cs="B Mitra" w:hint="cs"/>
          <w:color w:val="000000"/>
          <w:sz w:val="24"/>
          <w:szCs w:val="24"/>
          <w:rtl/>
        </w:rPr>
        <w:t>ـ</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color w:val="000000"/>
          <w:sz w:val="24"/>
          <w:szCs w:val="24"/>
          <w:rtl/>
        </w:rPr>
        <w:t>پذيرش</w:t>
      </w:r>
      <w:r w:rsidRPr="00286172">
        <w:rPr>
          <w:rFonts w:ascii="Times New Roman" w:eastAsia="Times New Roman" w:hAnsi="Times New Roman" w:cs="B Mitra" w:hint="cs"/>
          <w:color w:val="000000"/>
          <w:sz w:val="24"/>
          <w:szCs w:val="24"/>
        </w:rPr>
        <w:t>: 25/9/1390</w:t>
      </w:r>
    </w:p>
    <w:p w:rsidR="00286172" w:rsidRPr="00286172" w:rsidRDefault="00E270F2" w:rsidP="00E270F2">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6" style="width:0;height:.75pt" o:hralign="right" o:hrstd="t" o:hr="t" fillcolor="#a0a0a0" stroked="f"/>
        </w:pict>
      </w:r>
    </w:p>
    <w:bookmarkStart w:id="75" w:name="_edn1"/>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w:t>
      </w:r>
      <w:r w:rsidRPr="00286172">
        <w:rPr>
          <w:rFonts w:ascii="Times New Roman" w:eastAsia="Times New Roman" w:hAnsi="Times New Roman" w:cs="B Mitra"/>
          <w:color w:val="000000"/>
          <w:sz w:val="24"/>
          <w:szCs w:val="24"/>
        </w:rPr>
        <w:fldChar w:fldCharType="end"/>
      </w:r>
      <w:bookmarkEnd w:id="75"/>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برنارد ويليامز،</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w:t>
      </w:r>
      <w:r w:rsidRPr="00286172">
        <w:rPr>
          <w:rFonts w:ascii="Times New Roman" w:eastAsia="Times New Roman" w:hAnsi="Times New Roman" w:cs="B Mitra" w:hint="cs"/>
          <w:color w:val="000000"/>
          <w:sz w:val="24"/>
          <w:szCs w:val="24"/>
          <w:rtl/>
        </w:rPr>
        <w:t>، ترجمه زهرا جلالي، ص133. (يادداشتهاي مترجم</w:t>
      </w:r>
      <w:r w:rsidRPr="00286172">
        <w:rPr>
          <w:rFonts w:ascii="Times New Roman" w:eastAsia="Times New Roman" w:hAnsi="Times New Roman" w:cs="B Mitra" w:hint="cs"/>
          <w:color w:val="000000"/>
          <w:sz w:val="24"/>
          <w:szCs w:val="24"/>
        </w:rPr>
        <w:t>)</w:t>
      </w:r>
    </w:p>
    <w:bookmarkStart w:id="76" w:name="_edn2"/>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w:t>
      </w:r>
      <w:r w:rsidRPr="00286172">
        <w:rPr>
          <w:rFonts w:ascii="Times New Roman" w:eastAsia="Times New Roman" w:hAnsi="Times New Roman" w:cs="B Mitra"/>
          <w:color w:val="000000"/>
          <w:sz w:val="24"/>
          <w:szCs w:val="24"/>
        </w:rPr>
        <w:fldChar w:fldCharType="end"/>
      </w:r>
      <w:bookmarkEnd w:id="76"/>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ر.ک: سيد‌اکبر حسيني قلعه‌بهمن،</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واقع‌گرايي اخلاقي در نيمه دوم قرن بيستم</w:t>
      </w:r>
      <w:r w:rsidRPr="00286172">
        <w:rPr>
          <w:rFonts w:ascii="Times New Roman" w:eastAsia="Times New Roman" w:hAnsi="Times New Roman" w:cs="B Mitra" w:hint="cs"/>
          <w:color w:val="000000"/>
          <w:sz w:val="24"/>
          <w:szCs w:val="24"/>
        </w:rPr>
        <w:t>.</w:t>
      </w:r>
    </w:p>
    <w:bookmarkStart w:id="77" w:name="_edn3"/>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w:t>
      </w:r>
      <w:r w:rsidRPr="00286172">
        <w:rPr>
          <w:rFonts w:ascii="Times New Roman" w:eastAsia="Times New Roman" w:hAnsi="Times New Roman" w:cs="B Mitra"/>
          <w:color w:val="000000"/>
          <w:sz w:val="24"/>
          <w:szCs w:val="24"/>
        </w:rPr>
        <w:fldChar w:fldCharType="end"/>
      </w:r>
      <w:bookmarkEnd w:id="77"/>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امير خواص و ديگران،</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 با تکيه بر مباحث تربيتي</w:t>
      </w:r>
      <w:r w:rsidRPr="00286172">
        <w:rPr>
          <w:rFonts w:ascii="Times New Roman" w:eastAsia="Times New Roman" w:hAnsi="Times New Roman" w:cs="B Mitra" w:hint="cs"/>
          <w:color w:val="000000"/>
          <w:sz w:val="24"/>
          <w:szCs w:val="24"/>
          <w:rtl/>
        </w:rPr>
        <w:t>، ص 34</w:t>
      </w:r>
      <w:r w:rsidRPr="00286172">
        <w:rPr>
          <w:rFonts w:ascii="Times New Roman" w:eastAsia="Times New Roman" w:hAnsi="Times New Roman" w:cs="B Mitra" w:hint="cs"/>
          <w:color w:val="000000"/>
          <w:sz w:val="24"/>
          <w:szCs w:val="24"/>
        </w:rPr>
        <w:t>.</w:t>
      </w:r>
    </w:p>
    <w:bookmarkStart w:id="78" w:name="_edn4"/>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w:t>
      </w:r>
      <w:r w:rsidRPr="00286172">
        <w:rPr>
          <w:rFonts w:ascii="Times New Roman" w:eastAsia="Times New Roman" w:hAnsi="Times New Roman" w:cs="B Mitra"/>
          <w:color w:val="000000"/>
          <w:sz w:val="24"/>
          <w:szCs w:val="24"/>
        </w:rPr>
        <w:fldChar w:fldCharType="end"/>
      </w:r>
      <w:bookmarkEnd w:id="78"/>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احمدحسين شريفي،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خوب چيست؟ بد کدام است</w:t>
      </w:r>
      <w:r w:rsidRPr="00286172">
        <w:rPr>
          <w:rFonts w:ascii="Times New Roman" w:eastAsia="Times New Roman" w:hAnsi="Times New Roman" w:cs="B Mitra" w:hint="cs"/>
          <w:color w:val="000000"/>
          <w:sz w:val="24"/>
          <w:szCs w:val="24"/>
          <w:rtl/>
        </w:rPr>
        <w:t>؟، ص46</w:t>
      </w:r>
      <w:r w:rsidRPr="00286172">
        <w:rPr>
          <w:rFonts w:ascii="Times New Roman" w:eastAsia="Times New Roman" w:hAnsi="Times New Roman" w:cs="B Mitra" w:hint="cs"/>
          <w:color w:val="000000"/>
          <w:sz w:val="24"/>
          <w:szCs w:val="24"/>
        </w:rPr>
        <w:t>.</w:t>
      </w:r>
    </w:p>
    <w:bookmarkStart w:id="79" w:name="_edn5"/>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w:t>
      </w:r>
      <w:r w:rsidRPr="00286172">
        <w:rPr>
          <w:rFonts w:ascii="Times New Roman" w:eastAsia="Times New Roman" w:hAnsi="Times New Roman" w:cs="B Mitra"/>
          <w:color w:val="000000"/>
          <w:sz w:val="24"/>
          <w:szCs w:val="24"/>
        </w:rPr>
        <w:fldChar w:fldCharType="end"/>
      </w:r>
      <w:bookmarkEnd w:id="79"/>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مري وارنوک،</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 در قرن بيستم</w:t>
      </w:r>
      <w:r w:rsidRPr="00286172">
        <w:rPr>
          <w:rFonts w:ascii="Times New Roman" w:eastAsia="Times New Roman" w:hAnsi="Times New Roman" w:cs="B Mitra" w:hint="cs"/>
          <w:color w:val="000000"/>
          <w:sz w:val="24"/>
          <w:szCs w:val="24"/>
          <w:rtl/>
        </w:rPr>
        <w:t>، ترجمه ابوالقاسم فنايي، ص360. (يادداشتهاي مترجم</w:t>
      </w:r>
      <w:r w:rsidRPr="00286172">
        <w:rPr>
          <w:rFonts w:ascii="Times New Roman" w:eastAsia="Times New Roman" w:hAnsi="Times New Roman" w:cs="B Mitra" w:hint="cs"/>
          <w:color w:val="000000"/>
          <w:sz w:val="24"/>
          <w:szCs w:val="24"/>
        </w:rPr>
        <w:t>)</w:t>
      </w:r>
    </w:p>
    <w:bookmarkStart w:id="80" w:name="_edn6"/>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w:t>
      </w:r>
      <w:r w:rsidRPr="00286172">
        <w:rPr>
          <w:rFonts w:ascii="Times New Roman" w:eastAsia="Times New Roman" w:hAnsi="Times New Roman" w:cs="B Mitra"/>
          <w:color w:val="000000"/>
          <w:sz w:val="24"/>
          <w:szCs w:val="24"/>
        </w:rPr>
        <w:fldChar w:fldCharType="end"/>
      </w:r>
      <w:bookmarkEnd w:id="80"/>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خواص و ديگران،</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 با تکيه بر مباحث تربيتي</w:t>
      </w:r>
      <w:r w:rsidRPr="00286172">
        <w:rPr>
          <w:rFonts w:ascii="Times New Roman" w:eastAsia="Times New Roman" w:hAnsi="Times New Roman" w:cs="B Mitra" w:hint="cs"/>
          <w:color w:val="000000"/>
          <w:sz w:val="24"/>
          <w:szCs w:val="24"/>
          <w:rtl/>
        </w:rPr>
        <w:t>، ص 34</w:t>
      </w:r>
      <w:r w:rsidRPr="00286172">
        <w:rPr>
          <w:rFonts w:ascii="Times New Roman" w:eastAsia="Times New Roman" w:hAnsi="Times New Roman" w:cs="B Mitra" w:hint="cs"/>
          <w:color w:val="000000"/>
          <w:sz w:val="24"/>
          <w:szCs w:val="24"/>
        </w:rPr>
        <w:t>.</w:t>
      </w:r>
    </w:p>
    <w:bookmarkStart w:id="81" w:name="_edn7"/>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7</w:t>
      </w:r>
      <w:r w:rsidRPr="00286172">
        <w:rPr>
          <w:rFonts w:ascii="Times New Roman" w:eastAsia="Times New Roman" w:hAnsi="Times New Roman" w:cs="B Mitra"/>
          <w:color w:val="000000"/>
          <w:sz w:val="24"/>
          <w:szCs w:val="24"/>
        </w:rPr>
        <w:fldChar w:fldCharType="end"/>
      </w:r>
      <w:bookmarkEnd w:id="81"/>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شريفي، همان، ص198</w:t>
      </w:r>
      <w:r w:rsidRPr="00286172">
        <w:rPr>
          <w:rFonts w:ascii="Times New Roman" w:eastAsia="Times New Roman" w:hAnsi="Times New Roman" w:cs="B Mitra" w:hint="cs"/>
          <w:color w:val="000000"/>
          <w:sz w:val="24"/>
          <w:szCs w:val="24"/>
        </w:rPr>
        <w:t>.</w:t>
      </w:r>
    </w:p>
    <w:bookmarkStart w:id="82" w:name="_edn8"/>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8</w:t>
      </w:r>
      <w:r w:rsidRPr="00286172">
        <w:rPr>
          <w:rFonts w:ascii="Times New Roman" w:eastAsia="Times New Roman" w:hAnsi="Times New Roman" w:cs="B Mitra"/>
          <w:color w:val="000000"/>
          <w:sz w:val="24"/>
          <w:szCs w:val="24"/>
        </w:rPr>
        <w:fldChar w:fldCharType="end"/>
      </w:r>
      <w:bookmarkEnd w:id="82"/>
      <w:r w:rsidRPr="00286172">
        <w:rPr>
          <w:rFonts w:ascii="Times New Roman" w:eastAsia="Times New Roman" w:hAnsi="Times New Roman" w:cs="B Mitra" w:hint="cs"/>
          <w:color w:val="000000"/>
          <w:sz w:val="24"/>
          <w:szCs w:val="24"/>
        </w:rPr>
        <w:t xml:space="preserve">. </w:t>
      </w:r>
      <w:proofErr w:type="spellStart"/>
      <w:r w:rsidRPr="00286172">
        <w:rPr>
          <w:rFonts w:ascii="Times New Roman" w:eastAsia="Times New Roman" w:hAnsi="Times New Roman" w:cs="B Mitra" w:hint="cs"/>
          <w:color w:val="000000"/>
          <w:sz w:val="24"/>
          <w:szCs w:val="24"/>
        </w:rPr>
        <w:t>Rachels</w:t>
      </w:r>
      <w:proofErr w:type="spellEnd"/>
      <w:r w:rsidRPr="00286172">
        <w:rPr>
          <w:rFonts w:ascii="Times New Roman" w:eastAsia="Times New Roman" w:hAnsi="Times New Roman" w:cs="B Mitra" w:hint="cs"/>
          <w:color w:val="000000"/>
          <w:sz w:val="24"/>
          <w:szCs w:val="24"/>
        </w:rPr>
        <w:t>, James, The elements of moral philosophy, New York, McGraw-Hill, 1993, p 11</w:t>
      </w:r>
      <w:proofErr w:type="gramStart"/>
      <w:r w:rsidRPr="00286172">
        <w:rPr>
          <w:rFonts w:ascii="Times New Roman" w:eastAsia="Times New Roman" w:hAnsi="Times New Roman" w:cs="B Mitra" w:hint="cs"/>
          <w:color w:val="000000"/>
          <w:sz w:val="24"/>
          <w:szCs w:val="24"/>
        </w:rPr>
        <w:t>,12</w:t>
      </w:r>
      <w:proofErr w:type="gramEnd"/>
      <w:r w:rsidRPr="00286172">
        <w:rPr>
          <w:rFonts w:ascii="Times New Roman" w:eastAsia="Times New Roman" w:hAnsi="Times New Roman" w:cs="B Mitra" w:hint="cs"/>
          <w:color w:val="000000"/>
          <w:sz w:val="24"/>
          <w:szCs w:val="24"/>
        </w:rPr>
        <w:t>.</w:t>
      </w:r>
    </w:p>
    <w:bookmarkStart w:id="83" w:name="_edn9"/>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9</w:t>
      </w:r>
      <w:r w:rsidRPr="00286172">
        <w:rPr>
          <w:rFonts w:ascii="Times New Roman" w:eastAsia="Times New Roman" w:hAnsi="Times New Roman" w:cs="B Mitra"/>
          <w:color w:val="000000"/>
          <w:sz w:val="24"/>
          <w:szCs w:val="24"/>
        </w:rPr>
        <w:fldChar w:fldCharType="end"/>
      </w:r>
      <w:bookmarkEnd w:id="83"/>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شريفي، همان، ص 69</w:t>
      </w:r>
      <w:r w:rsidRPr="00286172">
        <w:rPr>
          <w:rFonts w:ascii="Times New Roman" w:eastAsia="Times New Roman" w:hAnsi="Times New Roman" w:cs="B Mitra" w:hint="cs"/>
          <w:color w:val="000000"/>
          <w:sz w:val="24"/>
          <w:szCs w:val="24"/>
        </w:rPr>
        <w:t>.</w:t>
      </w:r>
    </w:p>
    <w:bookmarkStart w:id="84" w:name="_edn10"/>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10</w:t>
      </w:r>
      <w:r w:rsidRPr="00286172">
        <w:rPr>
          <w:rFonts w:ascii="Times New Roman" w:eastAsia="Times New Roman" w:hAnsi="Times New Roman" w:cs="B Mitra"/>
          <w:color w:val="000000"/>
          <w:sz w:val="24"/>
          <w:szCs w:val="24"/>
        </w:rPr>
        <w:fldChar w:fldCharType="end"/>
      </w:r>
      <w:bookmarkEnd w:id="84"/>
      <w:r w:rsidRPr="00286172">
        <w:rPr>
          <w:rFonts w:ascii="Times New Roman" w:eastAsia="Times New Roman" w:hAnsi="Times New Roman" w:cs="B Mitra" w:hint="cs"/>
          <w:color w:val="000000"/>
          <w:sz w:val="24"/>
          <w:szCs w:val="24"/>
        </w:rPr>
        <w:t xml:space="preserve">. </w:t>
      </w:r>
      <w:proofErr w:type="spellStart"/>
      <w:r w:rsidRPr="00286172">
        <w:rPr>
          <w:rFonts w:ascii="Times New Roman" w:eastAsia="Times New Roman" w:hAnsi="Times New Roman" w:cs="B Mitra" w:hint="cs"/>
          <w:color w:val="000000"/>
          <w:sz w:val="24"/>
          <w:szCs w:val="24"/>
        </w:rPr>
        <w:t>Rachels</w:t>
      </w:r>
      <w:proofErr w:type="spellEnd"/>
      <w:r w:rsidRPr="00286172">
        <w:rPr>
          <w:rFonts w:ascii="Times New Roman" w:eastAsia="Times New Roman" w:hAnsi="Times New Roman" w:cs="B Mitra" w:hint="cs"/>
          <w:color w:val="000000"/>
          <w:sz w:val="24"/>
          <w:szCs w:val="24"/>
        </w:rPr>
        <w:t>, Ibid, p 91.</w:t>
      </w:r>
    </w:p>
    <w:bookmarkStart w:id="85" w:name="_edn11"/>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11</w:t>
      </w:r>
      <w:r w:rsidRPr="00286172">
        <w:rPr>
          <w:rFonts w:ascii="Times New Roman" w:eastAsia="Times New Roman" w:hAnsi="Times New Roman" w:cs="B Mitra"/>
          <w:color w:val="000000"/>
          <w:sz w:val="24"/>
          <w:szCs w:val="24"/>
        </w:rPr>
        <w:fldChar w:fldCharType="end"/>
      </w:r>
      <w:bookmarkEnd w:id="85"/>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محمدتقي مصباح،</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دروس فلسفه اخلاق</w:t>
      </w:r>
      <w:r w:rsidRPr="00286172">
        <w:rPr>
          <w:rFonts w:ascii="Times New Roman" w:eastAsia="Times New Roman" w:hAnsi="Times New Roman" w:cs="B Mitra" w:hint="cs"/>
          <w:color w:val="000000"/>
          <w:sz w:val="24"/>
          <w:szCs w:val="24"/>
          <w:rtl/>
        </w:rPr>
        <w:t>، ص 86</w:t>
      </w:r>
      <w:r w:rsidRPr="00286172">
        <w:rPr>
          <w:rFonts w:ascii="Times New Roman" w:eastAsia="Times New Roman" w:hAnsi="Times New Roman" w:cs="B Mitra" w:hint="cs"/>
          <w:color w:val="000000"/>
          <w:sz w:val="24"/>
          <w:szCs w:val="24"/>
        </w:rPr>
        <w:t>.</w:t>
      </w:r>
    </w:p>
    <w:bookmarkStart w:id="86" w:name="_edn12"/>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12</w:t>
      </w:r>
      <w:r w:rsidRPr="00286172">
        <w:rPr>
          <w:rFonts w:ascii="Times New Roman" w:eastAsia="Times New Roman" w:hAnsi="Times New Roman" w:cs="B Mitra"/>
          <w:color w:val="000000"/>
          <w:sz w:val="24"/>
          <w:szCs w:val="24"/>
        </w:rPr>
        <w:fldChar w:fldCharType="end"/>
      </w:r>
      <w:bookmarkEnd w:id="86"/>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ر.ک: همان، ص 97-126</w:t>
      </w:r>
      <w:r w:rsidRPr="00286172">
        <w:rPr>
          <w:rFonts w:ascii="Times New Roman" w:eastAsia="Times New Roman" w:hAnsi="Times New Roman" w:cs="B Mitra" w:hint="cs"/>
          <w:color w:val="000000"/>
          <w:sz w:val="24"/>
          <w:szCs w:val="24"/>
        </w:rPr>
        <w:t>.</w:t>
      </w:r>
    </w:p>
    <w:bookmarkStart w:id="87" w:name="_edn13"/>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13</w:t>
      </w:r>
      <w:r w:rsidRPr="00286172">
        <w:rPr>
          <w:rFonts w:ascii="Times New Roman" w:eastAsia="Times New Roman" w:hAnsi="Times New Roman" w:cs="B Mitra"/>
          <w:color w:val="000000"/>
          <w:sz w:val="24"/>
          <w:szCs w:val="24"/>
        </w:rPr>
        <w:fldChar w:fldCharType="end"/>
      </w:r>
      <w:bookmarkEnd w:id="87"/>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يدالله فرهادي،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اخلاق حرفه‌اي در بهداشت روان</w:t>
      </w:r>
      <w:r w:rsidRPr="00286172">
        <w:rPr>
          <w:rFonts w:ascii="Times New Roman" w:eastAsia="Times New Roman" w:hAnsi="Times New Roman" w:cs="B Mitra" w:hint="cs"/>
          <w:color w:val="000000"/>
          <w:sz w:val="24"/>
          <w:szCs w:val="24"/>
          <w:rtl/>
        </w:rPr>
        <w:t>، ص 39</w:t>
      </w:r>
      <w:r w:rsidRPr="00286172">
        <w:rPr>
          <w:rFonts w:ascii="Times New Roman" w:eastAsia="Times New Roman" w:hAnsi="Times New Roman" w:cs="B Mitra" w:hint="cs"/>
          <w:color w:val="000000"/>
          <w:sz w:val="24"/>
          <w:szCs w:val="24"/>
        </w:rPr>
        <w:t>.</w:t>
      </w:r>
    </w:p>
    <w:bookmarkStart w:id="88" w:name="_edn14"/>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14</w:t>
      </w:r>
      <w:r w:rsidRPr="00286172">
        <w:rPr>
          <w:rFonts w:ascii="Times New Roman" w:eastAsia="Times New Roman" w:hAnsi="Times New Roman" w:cs="B Mitra"/>
          <w:color w:val="000000"/>
          <w:sz w:val="24"/>
          <w:szCs w:val="24"/>
        </w:rPr>
        <w:fldChar w:fldCharType="end"/>
      </w:r>
      <w:bookmarkEnd w:id="88"/>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ر.ک: احمدحسين شريفي، «چيستي اخلاق کاربردي</w:t>
      </w:r>
      <w:r w:rsidRPr="00286172">
        <w:rPr>
          <w:rFonts w:ascii="Times New Roman" w:eastAsia="Times New Roman" w:hAnsi="Times New Roman" w:cs="B Mitra" w:hint="cs"/>
          <w:color w:val="000000"/>
          <w:sz w:val="24"/>
          <w:szCs w:val="24"/>
        </w:rPr>
        <w:t>»</w:t>
      </w:r>
      <w:r w:rsidRPr="00286172">
        <w:rPr>
          <w:rFonts w:ascii="Times New Roman" w:eastAsia="Times New Roman" w:hAnsi="Times New Roman" w:cs="B Mitra" w:hint="cs"/>
          <w:color w:val="000000"/>
          <w:sz w:val="24"/>
          <w:szCs w:val="24"/>
          <w:rtl/>
        </w:rPr>
        <w:t>،</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معرفت اخلاقي</w:t>
      </w:r>
      <w:r w:rsidRPr="00286172">
        <w:rPr>
          <w:rFonts w:ascii="Times New Roman" w:eastAsia="Times New Roman" w:hAnsi="Times New Roman" w:cs="B Mitra" w:hint="cs"/>
          <w:color w:val="000000"/>
          <w:sz w:val="24"/>
          <w:szCs w:val="24"/>
          <w:rtl/>
        </w:rPr>
        <w:t>، ش 7، تابستان 1390 ، ص 91</w:t>
      </w:r>
      <w:r w:rsidRPr="00286172">
        <w:rPr>
          <w:rFonts w:ascii="Times New Roman" w:eastAsia="Times New Roman" w:hAnsi="Times New Roman" w:cs="B Mitra" w:hint="cs"/>
          <w:color w:val="000000"/>
          <w:sz w:val="24"/>
          <w:szCs w:val="24"/>
        </w:rPr>
        <w:t>.</w:t>
      </w:r>
    </w:p>
    <w:bookmarkStart w:id="89" w:name="_edn15"/>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15</w:t>
      </w:r>
      <w:r w:rsidRPr="00286172">
        <w:rPr>
          <w:rFonts w:ascii="Times New Roman" w:eastAsia="Times New Roman" w:hAnsi="Times New Roman" w:cs="B Mitra"/>
          <w:color w:val="000000"/>
          <w:sz w:val="24"/>
          <w:szCs w:val="24"/>
        </w:rPr>
        <w:fldChar w:fldCharType="end"/>
      </w:r>
      <w:bookmarkEnd w:id="89"/>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ر.ک: احد فرامرز قراملکي،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 بر اخلاق حرفه‌اي</w:t>
      </w:r>
      <w:r w:rsidRPr="00286172">
        <w:rPr>
          <w:rFonts w:ascii="Times New Roman" w:eastAsia="Times New Roman" w:hAnsi="Times New Roman" w:cs="B Mitra" w:hint="cs"/>
          <w:color w:val="000000"/>
          <w:sz w:val="24"/>
          <w:szCs w:val="24"/>
          <w:rtl/>
        </w:rPr>
        <w:t>، ص 157</w:t>
      </w:r>
      <w:r w:rsidRPr="00286172">
        <w:rPr>
          <w:rFonts w:ascii="Times New Roman" w:eastAsia="Times New Roman" w:hAnsi="Times New Roman" w:cs="B Mitra" w:hint="cs"/>
          <w:color w:val="000000"/>
          <w:sz w:val="24"/>
          <w:szCs w:val="24"/>
        </w:rPr>
        <w:t>.</w:t>
      </w:r>
    </w:p>
    <w:bookmarkStart w:id="90" w:name="_edn16"/>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16</w:t>
      </w:r>
      <w:r w:rsidRPr="00286172">
        <w:rPr>
          <w:rFonts w:ascii="Times New Roman" w:eastAsia="Times New Roman" w:hAnsi="Times New Roman" w:cs="B Mitra"/>
          <w:color w:val="000000"/>
          <w:sz w:val="24"/>
          <w:szCs w:val="24"/>
        </w:rPr>
        <w:fldChar w:fldCharType="end"/>
      </w:r>
      <w:bookmarkEnd w:id="90"/>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همان، ص 174-175</w:t>
      </w:r>
      <w:r w:rsidRPr="00286172">
        <w:rPr>
          <w:rFonts w:ascii="Times New Roman" w:eastAsia="Times New Roman" w:hAnsi="Times New Roman" w:cs="B Mitra" w:hint="cs"/>
          <w:color w:val="000000"/>
          <w:sz w:val="24"/>
          <w:szCs w:val="24"/>
        </w:rPr>
        <w:t>.</w:t>
      </w:r>
    </w:p>
    <w:bookmarkStart w:id="91" w:name="_edn17"/>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17</w:t>
      </w:r>
      <w:r w:rsidRPr="00286172">
        <w:rPr>
          <w:rFonts w:ascii="Times New Roman" w:eastAsia="Times New Roman" w:hAnsi="Times New Roman" w:cs="B Mitra"/>
          <w:color w:val="000000"/>
          <w:sz w:val="24"/>
          <w:szCs w:val="24"/>
        </w:rPr>
        <w:fldChar w:fldCharType="end"/>
      </w:r>
      <w:bookmarkEnd w:id="91"/>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احد فرامرز قراملكي،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اخلاق حرفه‌اي</w:t>
      </w:r>
      <w:r w:rsidRPr="00286172">
        <w:rPr>
          <w:rFonts w:ascii="Times New Roman" w:eastAsia="Times New Roman" w:hAnsi="Times New Roman" w:cs="B Mitra" w:hint="cs"/>
          <w:color w:val="000000"/>
          <w:sz w:val="24"/>
          <w:szCs w:val="24"/>
          <w:rtl/>
        </w:rPr>
        <w:t>، ص 107</w:t>
      </w:r>
      <w:r w:rsidRPr="00286172">
        <w:rPr>
          <w:rFonts w:ascii="Times New Roman" w:eastAsia="Times New Roman" w:hAnsi="Times New Roman" w:cs="B Mitra" w:hint="cs"/>
          <w:color w:val="000000"/>
          <w:sz w:val="24"/>
          <w:szCs w:val="24"/>
        </w:rPr>
        <w:t>.</w:t>
      </w:r>
    </w:p>
    <w:bookmarkStart w:id="92" w:name="_edn18"/>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18</w:t>
      </w:r>
      <w:r w:rsidRPr="00286172">
        <w:rPr>
          <w:rFonts w:ascii="Times New Roman" w:eastAsia="Times New Roman" w:hAnsi="Times New Roman" w:cs="B Mitra"/>
          <w:color w:val="000000"/>
          <w:sz w:val="24"/>
          <w:szCs w:val="24"/>
        </w:rPr>
        <w:fldChar w:fldCharType="end"/>
      </w:r>
      <w:bookmarkEnd w:id="92"/>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احد فرامرز قراملکي،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 بر اخلاق حرفه‌اي</w:t>
      </w:r>
      <w:r w:rsidRPr="00286172">
        <w:rPr>
          <w:rFonts w:ascii="Times New Roman" w:eastAsia="Times New Roman" w:hAnsi="Times New Roman" w:cs="B Mitra" w:hint="cs"/>
          <w:color w:val="000000"/>
          <w:sz w:val="24"/>
          <w:szCs w:val="24"/>
          <w:rtl/>
        </w:rPr>
        <w:t>، همان، ص 28</w:t>
      </w:r>
      <w:r w:rsidRPr="00286172">
        <w:rPr>
          <w:rFonts w:ascii="Times New Roman" w:eastAsia="Times New Roman" w:hAnsi="Times New Roman" w:cs="B Mitra" w:hint="cs"/>
          <w:color w:val="000000"/>
          <w:sz w:val="24"/>
          <w:szCs w:val="24"/>
        </w:rPr>
        <w:t>.</w:t>
      </w:r>
    </w:p>
    <w:bookmarkStart w:id="93" w:name="_edn19"/>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"_ednref19"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19</w:t>
      </w:r>
      <w:r w:rsidRPr="00286172">
        <w:rPr>
          <w:rFonts w:ascii="Times New Roman" w:eastAsia="Times New Roman" w:hAnsi="Times New Roman" w:cs="B Mitra"/>
          <w:color w:val="000000"/>
          <w:sz w:val="24"/>
          <w:szCs w:val="24"/>
        </w:rPr>
        <w:fldChar w:fldCharType="end"/>
      </w:r>
      <w:bookmarkEnd w:id="93"/>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همان، ص 172</w:t>
      </w:r>
      <w:r w:rsidRPr="00286172">
        <w:rPr>
          <w:rFonts w:ascii="Times New Roman" w:eastAsia="Times New Roman" w:hAnsi="Times New Roman" w:cs="B Mitra" w:hint="cs"/>
          <w:color w:val="000000"/>
          <w:sz w:val="24"/>
          <w:szCs w:val="24"/>
        </w:rPr>
        <w:t>.</w:t>
      </w:r>
    </w:p>
    <w:bookmarkStart w:id="94" w:name="_edn20"/>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20</w:t>
      </w:r>
      <w:r w:rsidRPr="00286172">
        <w:rPr>
          <w:rFonts w:ascii="Times New Roman" w:eastAsia="Times New Roman" w:hAnsi="Times New Roman" w:cs="B Mitra"/>
          <w:color w:val="000000"/>
          <w:sz w:val="24"/>
          <w:szCs w:val="24"/>
        </w:rPr>
        <w:fldChar w:fldCharType="end"/>
      </w:r>
      <w:bookmarkEnd w:id="94"/>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رابرت هولمز،</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مباني فلسفه اخلاق</w:t>
      </w:r>
      <w:r w:rsidRPr="00286172">
        <w:rPr>
          <w:rFonts w:ascii="Times New Roman" w:eastAsia="Times New Roman" w:hAnsi="Times New Roman" w:cs="B Mitra" w:hint="cs"/>
          <w:color w:val="000000"/>
          <w:sz w:val="24"/>
          <w:szCs w:val="24"/>
          <w:rtl/>
        </w:rPr>
        <w:t>، ترجمه مسعود عليا، ص 42</w:t>
      </w:r>
      <w:r w:rsidRPr="00286172">
        <w:rPr>
          <w:rFonts w:ascii="Times New Roman" w:eastAsia="Times New Roman" w:hAnsi="Times New Roman" w:cs="B Mitra" w:hint="cs"/>
          <w:color w:val="000000"/>
          <w:sz w:val="24"/>
          <w:szCs w:val="24"/>
        </w:rPr>
        <w:t>.</w:t>
      </w:r>
    </w:p>
    <w:bookmarkStart w:id="95" w:name="_edn21"/>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lastRenderedPageBreak/>
        <w:fldChar w:fldCharType="begin"/>
      </w:r>
      <w:r w:rsidRPr="00286172">
        <w:rPr>
          <w:rFonts w:ascii="Times New Roman" w:eastAsia="Times New Roman" w:hAnsi="Times New Roman" w:cs="B Mitra"/>
          <w:color w:val="000000"/>
          <w:sz w:val="24"/>
          <w:szCs w:val="24"/>
        </w:rPr>
        <w:instrText xml:space="preserve"> HYPERLINK "http://marefateakhlagi.nashriyat.ir/node/87" \l "_ednref21"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21</w:t>
      </w:r>
      <w:r w:rsidRPr="00286172">
        <w:rPr>
          <w:rFonts w:ascii="Times New Roman" w:eastAsia="Times New Roman" w:hAnsi="Times New Roman" w:cs="B Mitra"/>
          <w:color w:val="000000"/>
          <w:sz w:val="24"/>
          <w:szCs w:val="24"/>
        </w:rPr>
        <w:fldChar w:fldCharType="end"/>
      </w:r>
      <w:bookmarkEnd w:id="95"/>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محمدتقي اسلامي و ديگران،</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اخلاق کاربردي، چالش‌ها و کاوش‌هاي نوين در اخلاق عملي</w:t>
      </w:r>
      <w:r w:rsidRPr="00286172">
        <w:rPr>
          <w:rFonts w:ascii="Times New Roman" w:eastAsia="Times New Roman" w:hAnsi="Times New Roman" w:cs="B Mitra" w:hint="cs"/>
          <w:color w:val="000000"/>
          <w:sz w:val="24"/>
          <w:szCs w:val="24"/>
          <w:rtl/>
        </w:rPr>
        <w:t>، ص17 و 46</w:t>
      </w:r>
      <w:r w:rsidRPr="00286172">
        <w:rPr>
          <w:rFonts w:ascii="Times New Roman" w:eastAsia="Times New Roman" w:hAnsi="Times New Roman" w:cs="B Mitra" w:hint="cs"/>
          <w:color w:val="000000"/>
          <w:sz w:val="24"/>
          <w:szCs w:val="24"/>
        </w:rPr>
        <w:t>.</w:t>
      </w:r>
    </w:p>
    <w:bookmarkStart w:id="96" w:name="_edn22"/>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22</w:t>
      </w:r>
      <w:r w:rsidRPr="00286172">
        <w:rPr>
          <w:rFonts w:ascii="Times New Roman" w:eastAsia="Times New Roman" w:hAnsi="Times New Roman" w:cs="B Mitra"/>
          <w:color w:val="000000"/>
          <w:sz w:val="24"/>
          <w:szCs w:val="24"/>
        </w:rPr>
        <w:fldChar w:fldCharType="end"/>
      </w:r>
      <w:bookmarkEnd w:id="96"/>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ر.ک: احمدحسين شريفي، «چيستي اخلاق کاربردي</w:t>
      </w:r>
      <w:r w:rsidRPr="00286172">
        <w:rPr>
          <w:rFonts w:ascii="Times New Roman" w:eastAsia="Times New Roman" w:hAnsi="Times New Roman" w:cs="B Mitra" w:hint="cs"/>
          <w:color w:val="000000"/>
          <w:sz w:val="24"/>
          <w:szCs w:val="24"/>
        </w:rPr>
        <w:t>»</w:t>
      </w:r>
      <w:r w:rsidRPr="00286172">
        <w:rPr>
          <w:rFonts w:ascii="Times New Roman" w:eastAsia="Times New Roman" w:hAnsi="Times New Roman" w:cs="B Mitra" w:hint="cs"/>
          <w:color w:val="000000"/>
          <w:sz w:val="24"/>
          <w:szCs w:val="24"/>
          <w:rtl/>
        </w:rPr>
        <w:t>،</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معرفت اخلاقي</w:t>
      </w:r>
      <w:r w:rsidRPr="00286172">
        <w:rPr>
          <w:rFonts w:ascii="Times New Roman" w:eastAsia="Times New Roman" w:hAnsi="Times New Roman" w:cs="B Mitra" w:hint="cs"/>
          <w:color w:val="000000"/>
          <w:sz w:val="24"/>
          <w:szCs w:val="24"/>
          <w:rtl/>
        </w:rPr>
        <w:t>، ش 7، تابستان 1390، ص 86- 89</w:t>
      </w:r>
      <w:r w:rsidRPr="00286172">
        <w:rPr>
          <w:rFonts w:ascii="Times New Roman" w:eastAsia="Times New Roman" w:hAnsi="Times New Roman" w:cs="B Mitra" w:hint="cs"/>
          <w:color w:val="000000"/>
          <w:sz w:val="24"/>
          <w:szCs w:val="24"/>
        </w:rPr>
        <w:t>.</w:t>
      </w:r>
    </w:p>
    <w:bookmarkStart w:id="97" w:name="_edn23"/>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23</w:t>
      </w:r>
      <w:r w:rsidRPr="00286172">
        <w:rPr>
          <w:rFonts w:ascii="Times New Roman" w:eastAsia="Times New Roman" w:hAnsi="Times New Roman" w:cs="B Mitra"/>
          <w:color w:val="000000"/>
          <w:sz w:val="24"/>
          <w:szCs w:val="24"/>
        </w:rPr>
        <w:fldChar w:fldCharType="end"/>
      </w:r>
      <w:bookmarkEnd w:id="97"/>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همان، ص 95</w:t>
      </w:r>
      <w:r w:rsidRPr="00286172">
        <w:rPr>
          <w:rFonts w:ascii="Times New Roman" w:eastAsia="Times New Roman" w:hAnsi="Times New Roman" w:cs="B Mitra" w:hint="cs"/>
          <w:color w:val="000000"/>
          <w:sz w:val="24"/>
          <w:szCs w:val="24"/>
        </w:rPr>
        <w:t>.</w:t>
      </w:r>
    </w:p>
    <w:bookmarkStart w:id="98" w:name="_edn24"/>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24</w:t>
      </w:r>
      <w:r w:rsidRPr="00286172">
        <w:rPr>
          <w:rFonts w:ascii="Times New Roman" w:eastAsia="Times New Roman" w:hAnsi="Times New Roman" w:cs="B Mitra"/>
          <w:color w:val="000000"/>
          <w:sz w:val="24"/>
          <w:szCs w:val="24"/>
        </w:rPr>
        <w:fldChar w:fldCharType="end"/>
      </w:r>
      <w:bookmarkEnd w:id="98"/>
      <w:r w:rsidRPr="00286172">
        <w:rPr>
          <w:rFonts w:ascii="Times New Roman" w:eastAsia="Times New Roman" w:hAnsi="Times New Roman" w:cs="B Mitra" w:hint="cs"/>
          <w:color w:val="000000"/>
          <w:sz w:val="24"/>
          <w:szCs w:val="24"/>
        </w:rPr>
        <w:t xml:space="preserve">. </w:t>
      </w:r>
      <w:proofErr w:type="spellStart"/>
      <w:r w:rsidRPr="00286172">
        <w:rPr>
          <w:rFonts w:ascii="Times New Roman" w:eastAsia="Times New Roman" w:hAnsi="Times New Roman" w:cs="B Mitra" w:hint="cs"/>
          <w:color w:val="000000"/>
          <w:sz w:val="24"/>
          <w:szCs w:val="24"/>
        </w:rPr>
        <w:t>MattiHayry</w:t>
      </w:r>
      <w:proofErr w:type="spellEnd"/>
      <w:r w:rsidRPr="00286172">
        <w:rPr>
          <w:rFonts w:ascii="Times New Roman" w:eastAsia="Times New Roman" w:hAnsi="Times New Roman" w:cs="B Mitra" w:hint="cs"/>
          <w:color w:val="000000"/>
          <w:sz w:val="24"/>
          <w:szCs w:val="24"/>
        </w:rPr>
        <w:t>, Liberal Utilitarianism and Applied Ethics, London and New York Routledge, 1994, p 147- 158.</w:t>
      </w:r>
    </w:p>
    <w:bookmarkStart w:id="99" w:name="_edn25"/>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25</w:t>
      </w:r>
      <w:r w:rsidRPr="00286172">
        <w:rPr>
          <w:rFonts w:ascii="Times New Roman" w:eastAsia="Times New Roman" w:hAnsi="Times New Roman" w:cs="B Mitra"/>
          <w:color w:val="000000"/>
          <w:sz w:val="24"/>
          <w:szCs w:val="24"/>
        </w:rPr>
        <w:fldChar w:fldCharType="end"/>
      </w:r>
      <w:bookmarkEnd w:id="99"/>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خواص و ديگران، همان، ص 22</w:t>
      </w:r>
      <w:r w:rsidRPr="00286172">
        <w:rPr>
          <w:rFonts w:ascii="Times New Roman" w:eastAsia="Times New Roman" w:hAnsi="Times New Roman" w:cs="B Mitra" w:hint="cs"/>
          <w:color w:val="000000"/>
          <w:sz w:val="24"/>
          <w:szCs w:val="24"/>
        </w:rPr>
        <w:t>.</w:t>
      </w:r>
    </w:p>
    <w:bookmarkStart w:id="100" w:name="_edn26"/>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26</w:t>
      </w:r>
      <w:r w:rsidRPr="00286172">
        <w:rPr>
          <w:rFonts w:ascii="Times New Roman" w:eastAsia="Times New Roman" w:hAnsi="Times New Roman" w:cs="B Mitra"/>
          <w:color w:val="000000"/>
          <w:sz w:val="24"/>
          <w:szCs w:val="24"/>
        </w:rPr>
        <w:fldChar w:fldCharType="end"/>
      </w:r>
      <w:bookmarkEnd w:id="100"/>
      <w:r w:rsidRPr="00286172">
        <w:rPr>
          <w:rFonts w:ascii="Times New Roman" w:eastAsia="Times New Roman" w:hAnsi="Times New Roman" w:cs="B Mitra" w:hint="cs"/>
          <w:color w:val="000000"/>
          <w:sz w:val="24"/>
          <w:szCs w:val="24"/>
        </w:rPr>
        <w:t xml:space="preserve">. </w:t>
      </w:r>
      <w:proofErr w:type="spellStart"/>
      <w:r w:rsidRPr="00286172">
        <w:rPr>
          <w:rFonts w:ascii="Times New Roman" w:eastAsia="Times New Roman" w:hAnsi="Times New Roman" w:cs="B Mitra" w:hint="cs"/>
          <w:color w:val="000000"/>
          <w:sz w:val="24"/>
          <w:szCs w:val="24"/>
        </w:rPr>
        <w:t>Gert</w:t>
      </w:r>
      <w:proofErr w:type="spellEnd"/>
    </w:p>
    <w:bookmarkStart w:id="101" w:name="_edn27"/>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27</w:t>
      </w:r>
      <w:r w:rsidRPr="00286172">
        <w:rPr>
          <w:rFonts w:ascii="Times New Roman" w:eastAsia="Times New Roman" w:hAnsi="Times New Roman" w:cs="B Mitra"/>
          <w:color w:val="000000"/>
          <w:sz w:val="24"/>
          <w:szCs w:val="24"/>
        </w:rPr>
        <w:fldChar w:fldCharType="end"/>
      </w:r>
      <w:bookmarkEnd w:id="101"/>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اسلامي و ديگران، همان، ص 57-74</w:t>
      </w:r>
      <w:r w:rsidRPr="00286172">
        <w:rPr>
          <w:rFonts w:ascii="Times New Roman" w:eastAsia="Times New Roman" w:hAnsi="Times New Roman" w:cs="B Mitra" w:hint="cs"/>
          <w:color w:val="000000"/>
          <w:sz w:val="24"/>
          <w:szCs w:val="24"/>
        </w:rPr>
        <w:t>.</w:t>
      </w:r>
    </w:p>
    <w:bookmarkStart w:id="102" w:name="_edn28"/>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28</w:t>
      </w:r>
      <w:r w:rsidRPr="00286172">
        <w:rPr>
          <w:rFonts w:ascii="Times New Roman" w:eastAsia="Times New Roman" w:hAnsi="Times New Roman" w:cs="B Mitra"/>
          <w:color w:val="000000"/>
          <w:sz w:val="24"/>
          <w:szCs w:val="24"/>
        </w:rPr>
        <w:fldChar w:fldCharType="end"/>
      </w:r>
      <w:bookmarkEnd w:id="102"/>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گروهي از مترجمان، «مجموعه مقالات فلسفه اخلاق برگرفته از دائرة‌المعارف فلسفه اخلاق»، والتر سينت آرمسترانگ،</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معضلات اخلاقي</w:t>
      </w:r>
      <w:r w:rsidRPr="00286172">
        <w:rPr>
          <w:rFonts w:ascii="Times New Roman" w:eastAsia="Times New Roman" w:hAnsi="Times New Roman" w:cs="B Mitra" w:hint="cs"/>
          <w:color w:val="000000"/>
          <w:sz w:val="24"/>
          <w:szCs w:val="24"/>
          <w:rtl/>
        </w:rPr>
        <w:t>، ترجمه احمدحسين شريفي، ص 129</w:t>
      </w:r>
      <w:r w:rsidRPr="00286172">
        <w:rPr>
          <w:rFonts w:ascii="Times New Roman" w:eastAsia="Times New Roman" w:hAnsi="Times New Roman" w:cs="B Mitra" w:hint="cs"/>
          <w:color w:val="000000"/>
          <w:sz w:val="24"/>
          <w:szCs w:val="24"/>
        </w:rPr>
        <w:t>.</w:t>
      </w:r>
    </w:p>
    <w:bookmarkStart w:id="103" w:name="_edn29"/>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"_ednref29"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29</w:t>
      </w:r>
      <w:r w:rsidRPr="00286172">
        <w:rPr>
          <w:rFonts w:ascii="Times New Roman" w:eastAsia="Times New Roman" w:hAnsi="Times New Roman" w:cs="B Mitra"/>
          <w:color w:val="000000"/>
          <w:sz w:val="24"/>
          <w:szCs w:val="24"/>
        </w:rPr>
        <w:fldChar w:fldCharType="end"/>
      </w:r>
      <w:bookmarkEnd w:id="103"/>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محمدسعيد حكيم،</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المحكم في اصول الفقه</w:t>
      </w:r>
      <w:r w:rsidRPr="00286172">
        <w:rPr>
          <w:rFonts w:ascii="Times New Roman" w:eastAsia="Times New Roman" w:hAnsi="Times New Roman" w:cs="B Mitra" w:hint="cs"/>
          <w:color w:val="000000"/>
          <w:sz w:val="24"/>
          <w:szCs w:val="24"/>
          <w:rtl/>
        </w:rPr>
        <w:t>، ص 21- 23</w:t>
      </w:r>
      <w:r w:rsidRPr="00286172">
        <w:rPr>
          <w:rFonts w:ascii="Times New Roman" w:eastAsia="Times New Roman" w:hAnsi="Times New Roman" w:cs="B Mitra" w:hint="cs"/>
          <w:color w:val="000000"/>
          <w:sz w:val="24"/>
          <w:szCs w:val="24"/>
        </w:rPr>
        <w:t>.</w:t>
      </w:r>
    </w:p>
    <w:bookmarkStart w:id="104" w:name="_edn30"/>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30</w:t>
      </w:r>
      <w:r w:rsidRPr="00286172">
        <w:rPr>
          <w:rFonts w:ascii="Times New Roman" w:eastAsia="Times New Roman" w:hAnsi="Times New Roman" w:cs="B Mitra"/>
          <w:color w:val="000000"/>
          <w:sz w:val="24"/>
          <w:szCs w:val="24"/>
        </w:rPr>
        <w:fldChar w:fldCharType="end"/>
      </w:r>
      <w:bookmarkEnd w:id="104"/>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محمداسحاق فياض،</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محاضرات في اصول الفقه، تقريرات بحث آيت‌الله‌العظمي خوئي</w:t>
      </w:r>
      <w:r w:rsidRPr="00286172">
        <w:rPr>
          <w:rFonts w:ascii="Times New Roman" w:eastAsia="Times New Roman" w:hAnsi="Times New Roman" w:cs="B Mitra" w:hint="cs"/>
          <w:color w:val="000000"/>
          <w:sz w:val="24"/>
          <w:szCs w:val="24"/>
          <w:rtl/>
        </w:rPr>
        <w:t>، ج3، ص 64</w:t>
      </w:r>
      <w:r w:rsidRPr="00286172">
        <w:rPr>
          <w:rFonts w:ascii="Times New Roman" w:eastAsia="Times New Roman" w:hAnsi="Times New Roman" w:cs="B Mitra" w:hint="cs"/>
          <w:color w:val="000000"/>
          <w:sz w:val="24"/>
          <w:szCs w:val="24"/>
        </w:rPr>
        <w:t>.</w:t>
      </w:r>
    </w:p>
    <w:bookmarkStart w:id="105" w:name="_edn31"/>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31</w:t>
      </w:r>
      <w:r w:rsidRPr="00286172">
        <w:rPr>
          <w:rFonts w:ascii="Times New Roman" w:eastAsia="Times New Roman" w:hAnsi="Times New Roman" w:cs="B Mitra"/>
          <w:color w:val="000000"/>
          <w:sz w:val="24"/>
          <w:szCs w:val="24"/>
        </w:rPr>
        <w:fldChar w:fldCharType="end"/>
      </w:r>
      <w:bookmarkEnd w:id="105"/>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قراملکي، همان، ص 196</w:t>
      </w:r>
    </w:p>
    <w:bookmarkStart w:id="106" w:name="_edn32"/>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32</w:t>
      </w:r>
      <w:r w:rsidRPr="00286172">
        <w:rPr>
          <w:rFonts w:ascii="Times New Roman" w:eastAsia="Times New Roman" w:hAnsi="Times New Roman" w:cs="B Mitra"/>
          <w:color w:val="000000"/>
          <w:sz w:val="24"/>
          <w:szCs w:val="24"/>
        </w:rPr>
        <w:fldChar w:fldCharType="end"/>
      </w:r>
      <w:bookmarkEnd w:id="106"/>
      <w:r w:rsidRPr="00286172">
        <w:rPr>
          <w:rFonts w:ascii="Times New Roman" w:eastAsia="Times New Roman" w:hAnsi="Times New Roman" w:cs="B Mitra" w:hint="cs"/>
          <w:color w:val="000000"/>
          <w:sz w:val="24"/>
          <w:szCs w:val="24"/>
        </w:rPr>
        <w:t>. </w:t>
      </w:r>
      <w:bookmarkStart w:id="107" w:name="OLE_LINK80"/>
      <w:r w:rsidRPr="00286172">
        <w:rPr>
          <w:rFonts w:ascii="Times New Roman" w:eastAsia="Times New Roman" w:hAnsi="Times New Roman" w:cs="B Mitra" w:hint="cs"/>
          <w:color w:val="000080"/>
          <w:sz w:val="24"/>
          <w:szCs w:val="24"/>
        </w:rPr>
        <w:t xml:space="preserve">Vide: Frey et al, Ibid, </w:t>
      </w:r>
      <w:proofErr w:type="gramStart"/>
      <w:r w:rsidRPr="00286172">
        <w:rPr>
          <w:rFonts w:ascii="Times New Roman" w:eastAsia="Times New Roman" w:hAnsi="Times New Roman" w:cs="B Mitra" w:hint="cs"/>
          <w:color w:val="000080"/>
          <w:sz w:val="24"/>
          <w:szCs w:val="24"/>
        </w:rPr>
        <w:t>p</w:t>
      </w:r>
      <w:bookmarkEnd w:id="107"/>
      <w:proofErr w:type="gramEnd"/>
      <w:r w:rsidRPr="00286172">
        <w:rPr>
          <w:rFonts w:ascii="Times New Roman" w:eastAsia="Times New Roman" w:hAnsi="Times New Roman" w:cs="B Mitra" w:hint="cs"/>
          <w:color w:val="000000"/>
          <w:sz w:val="24"/>
          <w:szCs w:val="24"/>
        </w:rPr>
        <w:t> 489.</w:t>
      </w:r>
    </w:p>
    <w:bookmarkStart w:id="108" w:name="_edn33"/>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33</w:t>
      </w:r>
      <w:r w:rsidRPr="00286172">
        <w:rPr>
          <w:rFonts w:ascii="Times New Roman" w:eastAsia="Times New Roman" w:hAnsi="Times New Roman" w:cs="B Mitra"/>
          <w:color w:val="000000"/>
          <w:sz w:val="24"/>
          <w:szCs w:val="24"/>
        </w:rPr>
        <w:fldChar w:fldCharType="end"/>
      </w:r>
      <w:bookmarkEnd w:id="108"/>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گروهي از مترجمان، «مجموعه مقالات فلسفه اخلاق برگرفته از دائرة‌المعارف فلسفه اخلاق»، والتر سينت آرمسترانگ،</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معضلات اخلاقي</w:t>
      </w:r>
      <w:r w:rsidRPr="00286172">
        <w:rPr>
          <w:rFonts w:ascii="Times New Roman" w:eastAsia="Times New Roman" w:hAnsi="Times New Roman" w:cs="B Mitra" w:hint="cs"/>
          <w:color w:val="000000"/>
          <w:sz w:val="24"/>
          <w:szCs w:val="24"/>
          <w:rtl/>
        </w:rPr>
        <w:t>، ترجمه احمدحسين شريفي، ص 130- 131</w:t>
      </w:r>
      <w:r w:rsidRPr="00286172">
        <w:rPr>
          <w:rFonts w:ascii="Times New Roman" w:eastAsia="Times New Roman" w:hAnsi="Times New Roman" w:cs="B Mitra" w:hint="cs"/>
          <w:color w:val="000000"/>
          <w:sz w:val="24"/>
          <w:szCs w:val="24"/>
        </w:rPr>
        <w:t>.</w:t>
      </w:r>
    </w:p>
    <w:bookmarkStart w:id="109" w:name="_edn34"/>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34</w:t>
      </w:r>
      <w:r w:rsidRPr="00286172">
        <w:rPr>
          <w:rFonts w:ascii="Times New Roman" w:eastAsia="Times New Roman" w:hAnsi="Times New Roman" w:cs="B Mitra"/>
          <w:color w:val="000000"/>
          <w:sz w:val="24"/>
          <w:szCs w:val="24"/>
        </w:rPr>
        <w:fldChar w:fldCharType="end"/>
      </w:r>
      <w:bookmarkEnd w:id="109"/>
      <w:r w:rsidRPr="00286172">
        <w:rPr>
          <w:rFonts w:ascii="Times New Roman" w:eastAsia="Times New Roman" w:hAnsi="Times New Roman" w:cs="B Mitra" w:hint="cs"/>
          <w:color w:val="000000"/>
          <w:sz w:val="24"/>
          <w:szCs w:val="24"/>
        </w:rPr>
        <w:t>. C. E Harris, Applying Moral Theories, U.S.A, California, Wadsworth publishing company, 1996, p 70.</w:t>
      </w:r>
    </w:p>
    <w:bookmarkStart w:id="110" w:name="_edn35"/>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35</w:t>
      </w:r>
      <w:r w:rsidRPr="00286172">
        <w:rPr>
          <w:rFonts w:ascii="Times New Roman" w:eastAsia="Times New Roman" w:hAnsi="Times New Roman" w:cs="B Mitra"/>
          <w:color w:val="000000"/>
          <w:sz w:val="24"/>
          <w:szCs w:val="24"/>
        </w:rPr>
        <w:fldChar w:fldCharType="end"/>
      </w:r>
      <w:bookmarkEnd w:id="110"/>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اتکينسون، آر. اف،</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 به فلسفه اخلاق</w:t>
      </w:r>
      <w:r w:rsidRPr="00286172">
        <w:rPr>
          <w:rFonts w:ascii="Times New Roman" w:eastAsia="Times New Roman" w:hAnsi="Times New Roman" w:cs="B Mitra" w:hint="cs"/>
          <w:color w:val="000000"/>
          <w:sz w:val="24"/>
          <w:szCs w:val="24"/>
          <w:rtl/>
        </w:rPr>
        <w:t>، ترجمه سهراب علوي‌نيا، ص 38</w:t>
      </w:r>
      <w:r w:rsidRPr="00286172">
        <w:rPr>
          <w:rFonts w:ascii="Times New Roman" w:eastAsia="Times New Roman" w:hAnsi="Times New Roman" w:cs="B Mitra" w:hint="cs"/>
          <w:color w:val="000000"/>
          <w:sz w:val="24"/>
          <w:szCs w:val="24"/>
        </w:rPr>
        <w:t>.</w:t>
      </w:r>
    </w:p>
    <w:bookmarkStart w:id="111" w:name="_edn36"/>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36</w:t>
      </w:r>
      <w:r w:rsidRPr="00286172">
        <w:rPr>
          <w:rFonts w:ascii="Times New Roman" w:eastAsia="Times New Roman" w:hAnsi="Times New Roman" w:cs="B Mitra"/>
          <w:color w:val="000000"/>
          <w:sz w:val="24"/>
          <w:szCs w:val="24"/>
        </w:rPr>
        <w:fldChar w:fldCharType="end"/>
      </w:r>
      <w:bookmarkEnd w:id="111"/>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گاهي نيز در هر دو طرف، تنها يک اصل اخلاقي وجود دارد که داراي دو مصداق غير قابل جمع است؛ چنان‌که در نجات جان دو غريق اين‌گونه است</w:t>
      </w:r>
      <w:r w:rsidRPr="00286172">
        <w:rPr>
          <w:rFonts w:ascii="Times New Roman" w:eastAsia="Times New Roman" w:hAnsi="Times New Roman" w:cs="B Mitra" w:hint="cs"/>
          <w:color w:val="000000"/>
          <w:sz w:val="24"/>
          <w:szCs w:val="24"/>
        </w:rPr>
        <w:t>.</w:t>
      </w:r>
    </w:p>
    <w:bookmarkStart w:id="112" w:name="_edn37"/>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37</w:t>
      </w:r>
      <w:r w:rsidRPr="00286172">
        <w:rPr>
          <w:rFonts w:ascii="Times New Roman" w:eastAsia="Times New Roman" w:hAnsi="Times New Roman" w:cs="B Mitra"/>
          <w:color w:val="000000"/>
          <w:sz w:val="24"/>
          <w:szCs w:val="24"/>
        </w:rPr>
        <w:fldChar w:fldCharType="end"/>
      </w:r>
      <w:bookmarkEnd w:id="112"/>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فاضل لنکراني،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سيري کامل در اصول فقه</w:t>
      </w:r>
      <w:r w:rsidRPr="00286172">
        <w:rPr>
          <w:rFonts w:ascii="Times New Roman" w:eastAsia="Times New Roman" w:hAnsi="Times New Roman" w:cs="B Mitra" w:hint="cs"/>
          <w:color w:val="000000"/>
          <w:sz w:val="24"/>
          <w:szCs w:val="24"/>
          <w:rtl/>
        </w:rPr>
        <w:t>، ص 575</w:t>
      </w:r>
      <w:r w:rsidRPr="00286172">
        <w:rPr>
          <w:rFonts w:ascii="Times New Roman" w:eastAsia="Times New Roman" w:hAnsi="Times New Roman" w:cs="B Mitra" w:hint="cs"/>
          <w:color w:val="000000"/>
          <w:sz w:val="24"/>
          <w:szCs w:val="24"/>
        </w:rPr>
        <w:t>.</w:t>
      </w:r>
    </w:p>
    <w:bookmarkStart w:id="113" w:name="_edn38"/>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38</w:t>
      </w:r>
      <w:r w:rsidRPr="00286172">
        <w:rPr>
          <w:rFonts w:ascii="Times New Roman" w:eastAsia="Times New Roman" w:hAnsi="Times New Roman" w:cs="B Mitra"/>
          <w:color w:val="000000"/>
          <w:sz w:val="24"/>
          <w:szCs w:val="24"/>
        </w:rPr>
        <w:fldChar w:fldCharType="end"/>
      </w:r>
      <w:bookmarkEnd w:id="113"/>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همان، ص 519</w:t>
      </w:r>
      <w:r w:rsidRPr="00286172">
        <w:rPr>
          <w:rFonts w:ascii="Times New Roman" w:eastAsia="Times New Roman" w:hAnsi="Times New Roman" w:cs="B Mitra" w:hint="cs"/>
          <w:color w:val="000000"/>
          <w:sz w:val="24"/>
          <w:szCs w:val="24"/>
        </w:rPr>
        <w:t>.</w:t>
      </w:r>
    </w:p>
    <w:bookmarkStart w:id="114" w:name="_edn39"/>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"_ednref39"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39</w:t>
      </w:r>
      <w:r w:rsidRPr="00286172">
        <w:rPr>
          <w:rFonts w:ascii="Times New Roman" w:eastAsia="Times New Roman" w:hAnsi="Times New Roman" w:cs="B Mitra"/>
          <w:color w:val="000000"/>
          <w:sz w:val="24"/>
          <w:szCs w:val="24"/>
        </w:rPr>
        <w:fldChar w:fldCharType="end"/>
      </w:r>
      <w:bookmarkEnd w:id="114"/>
      <w:r w:rsidRPr="00286172">
        <w:rPr>
          <w:rFonts w:ascii="Times New Roman" w:eastAsia="Times New Roman" w:hAnsi="Times New Roman" w:cs="B Mitra" w:hint="cs"/>
          <w:color w:val="000000"/>
          <w:sz w:val="24"/>
          <w:szCs w:val="24"/>
        </w:rPr>
        <w:t>. Wong, David. B, Moral Relativity, U.S.A, University of California, 1986, p 3.</w:t>
      </w:r>
    </w:p>
    <w:bookmarkStart w:id="115" w:name="_edn40"/>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40</w:t>
      </w:r>
      <w:r w:rsidRPr="00286172">
        <w:rPr>
          <w:rFonts w:ascii="Times New Roman" w:eastAsia="Times New Roman" w:hAnsi="Times New Roman" w:cs="B Mitra"/>
          <w:color w:val="000000"/>
          <w:sz w:val="24"/>
          <w:szCs w:val="24"/>
        </w:rPr>
        <w:fldChar w:fldCharType="end"/>
      </w:r>
      <w:bookmarkEnd w:id="115"/>
      <w:r w:rsidRPr="00286172">
        <w:rPr>
          <w:rFonts w:ascii="Times New Roman" w:eastAsia="Times New Roman" w:hAnsi="Times New Roman" w:cs="B Mitra" w:hint="cs"/>
          <w:color w:val="000000"/>
          <w:sz w:val="24"/>
          <w:szCs w:val="24"/>
        </w:rPr>
        <w:t>. Ibid, p 1.</w:t>
      </w:r>
    </w:p>
    <w:bookmarkStart w:id="116" w:name="_edn41"/>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lastRenderedPageBreak/>
        <w:fldChar w:fldCharType="begin"/>
      </w:r>
      <w:r w:rsidRPr="00286172">
        <w:rPr>
          <w:rFonts w:ascii="Times New Roman" w:eastAsia="Times New Roman" w:hAnsi="Times New Roman" w:cs="B Mitra"/>
          <w:color w:val="000000"/>
          <w:sz w:val="24"/>
          <w:szCs w:val="24"/>
        </w:rPr>
        <w:instrText xml:space="preserve"> HYPERLINK "http://marefateakhlagi.nashriyat.ir/node/87" \l "_ednref41"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41</w:t>
      </w:r>
      <w:r w:rsidRPr="00286172">
        <w:rPr>
          <w:rFonts w:ascii="Times New Roman" w:eastAsia="Times New Roman" w:hAnsi="Times New Roman" w:cs="B Mitra"/>
          <w:color w:val="000000"/>
          <w:sz w:val="24"/>
          <w:szCs w:val="24"/>
        </w:rPr>
        <w:fldChar w:fldCharType="end"/>
      </w:r>
      <w:bookmarkEnd w:id="116"/>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سيد‌احمد رهنمايي،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 بر مباني ارزش‌ها</w:t>
      </w:r>
      <w:r w:rsidRPr="00286172">
        <w:rPr>
          <w:rFonts w:ascii="Times New Roman" w:eastAsia="Times New Roman" w:hAnsi="Times New Roman" w:cs="B Mitra" w:hint="cs"/>
          <w:color w:val="000000"/>
          <w:sz w:val="24"/>
          <w:szCs w:val="24"/>
          <w:rtl/>
        </w:rPr>
        <w:t>، ص 73</w:t>
      </w:r>
      <w:r w:rsidRPr="00286172">
        <w:rPr>
          <w:rFonts w:ascii="Times New Roman" w:eastAsia="Times New Roman" w:hAnsi="Times New Roman" w:cs="B Mitra" w:hint="cs"/>
          <w:color w:val="000000"/>
          <w:sz w:val="24"/>
          <w:szCs w:val="24"/>
        </w:rPr>
        <w:t>.</w:t>
      </w:r>
    </w:p>
    <w:bookmarkStart w:id="117" w:name="_edn42"/>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42</w:t>
      </w:r>
      <w:r w:rsidRPr="00286172">
        <w:rPr>
          <w:rFonts w:ascii="Times New Roman" w:eastAsia="Times New Roman" w:hAnsi="Times New Roman" w:cs="B Mitra"/>
          <w:color w:val="000000"/>
          <w:sz w:val="24"/>
          <w:szCs w:val="24"/>
        </w:rPr>
        <w:fldChar w:fldCharType="end"/>
      </w:r>
      <w:bookmarkEnd w:id="117"/>
      <w:r w:rsidRPr="00286172">
        <w:rPr>
          <w:rFonts w:ascii="Times New Roman" w:eastAsia="Times New Roman" w:hAnsi="Times New Roman" w:cs="B Mitra" w:hint="cs"/>
          <w:color w:val="000000"/>
          <w:sz w:val="24"/>
          <w:szCs w:val="24"/>
        </w:rPr>
        <w:t>. Russell, Bertrand, Human Society in Ethics and Politics, London, Rutledge, 1992, p 47.</w:t>
      </w:r>
    </w:p>
    <w:bookmarkStart w:id="118" w:name="_edn43"/>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43</w:t>
      </w:r>
      <w:r w:rsidRPr="00286172">
        <w:rPr>
          <w:rFonts w:ascii="Times New Roman" w:eastAsia="Times New Roman" w:hAnsi="Times New Roman" w:cs="B Mitra"/>
          <w:color w:val="000000"/>
          <w:sz w:val="24"/>
          <w:szCs w:val="24"/>
        </w:rPr>
        <w:fldChar w:fldCharType="end"/>
      </w:r>
      <w:bookmarkEnd w:id="118"/>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البته در صورتي که اصل وجود تزاحمات را به نحوي توجيه کنند</w:t>
      </w:r>
      <w:r w:rsidRPr="00286172">
        <w:rPr>
          <w:rFonts w:ascii="Times New Roman" w:eastAsia="Times New Roman" w:hAnsi="Times New Roman" w:cs="B Mitra" w:hint="cs"/>
          <w:color w:val="000000"/>
          <w:sz w:val="24"/>
          <w:szCs w:val="24"/>
        </w:rPr>
        <w:t>.</w:t>
      </w:r>
    </w:p>
    <w:bookmarkStart w:id="119" w:name="_edn44"/>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44</w:t>
      </w:r>
      <w:r w:rsidRPr="00286172">
        <w:rPr>
          <w:rFonts w:ascii="Times New Roman" w:eastAsia="Times New Roman" w:hAnsi="Times New Roman" w:cs="B Mitra"/>
          <w:color w:val="000000"/>
          <w:sz w:val="24"/>
          <w:szCs w:val="24"/>
        </w:rPr>
        <w:fldChar w:fldCharType="end"/>
      </w:r>
      <w:bookmarkEnd w:id="119"/>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محمدتقي مصباح،</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نقد و بررسي مکاتب اخلاقي</w:t>
      </w:r>
      <w:r w:rsidRPr="00286172">
        <w:rPr>
          <w:rFonts w:ascii="Times New Roman" w:eastAsia="Times New Roman" w:hAnsi="Times New Roman" w:cs="B Mitra" w:hint="cs"/>
          <w:color w:val="000000"/>
          <w:sz w:val="24"/>
          <w:szCs w:val="24"/>
          <w:rtl/>
        </w:rPr>
        <w:t>، تحقيق و نگارش احمدحسين شريفي، ص 339</w:t>
      </w:r>
      <w:r w:rsidRPr="00286172">
        <w:rPr>
          <w:rFonts w:ascii="Times New Roman" w:eastAsia="Times New Roman" w:hAnsi="Times New Roman" w:cs="B Mitra" w:hint="cs"/>
          <w:color w:val="000000"/>
          <w:sz w:val="24"/>
          <w:szCs w:val="24"/>
        </w:rPr>
        <w:t>.</w:t>
      </w:r>
    </w:p>
    <w:bookmarkStart w:id="120" w:name="_edn45"/>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45</w:t>
      </w:r>
      <w:r w:rsidRPr="00286172">
        <w:rPr>
          <w:rFonts w:ascii="Times New Roman" w:eastAsia="Times New Roman" w:hAnsi="Times New Roman" w:cs="B Mitra"/>
          <w:color w:val="000000"/>
          <w:sz w:val="24"/>
          <w:szCs w:val="24"/>
        </w:rPr>
        <w:fldChar w:fldCharType="end"/>
      </w:r>
      <w:bookmarkEnd w:id="120"/>
      <w:r w:rsidRPr="00286172">
        <w:rPr>
          <w:rFonts w:ascii="Times New Roman" w:eastAsia="Times New Roman" w:hAnsi="Times New Roman" w:cs="B Mitra" w:hint="cs"/>
          <w:color w:val="000000"/>
          <w:sz w:val="24"/>
          <w:szCs w:val="24"/>
        </w:rPr>
        <w:t>.</w:t>
      </w:r>
      <w:r w:rsidRPr="00286172">
        <w:rPr>
          <w:rFonts w:ascii="Times New Roman" w:eastAsia="Times New Roman" w:hAnsi="Times New Roman" w:cs="B Mitra" w:hint="cs"/>
          <w:color w:val="000000"/>
          <w:sz w:val="24"/>
          <w:szCs w:val="24"/>
          <w:rtl/>
        </w:rPr>
        <w:t>ممکن است برخي از اين ويژگي‌ها با مبناي ناواقع</w:t>
      </w:r>
      <w:r w:rsidRPr="00286172">
        <w:rPr>
          <w:rFonts w:ascii="Times New Roman" w:eastAsia="Times New Roman" w:hAnsi="Times New Roman" w:cs="B Mitra" w:hint="cs"/>
          <w:color w:val="000000"/>
          <w:sz w:val="24"/>
          <w:szCs w:val="24"/>
          <w:rtl/>
        </w:rPr>
        <w:softHyphen/>
        <w:t>گرايي نيز محقق شود، اما مجموع آنها به عنوان يک مجموعه تنها با واقع‌گرايي سازگار است</w:t>
      </w:r>
      <w:r w:rsidRPr="00286172">
        <w:rPr>
          <w:rFonts w:ascii="Times New Roman" w:eastAsia="Times New Roman" w:hAnsi="Times New Roman" w:cs="B Mitra" w:hint="cs"/>
          <w:color w:val="000000"/>
          <w:sz w:val="24"/>
          <w:szCs w:val="24"/>
        </w:rPr>
        <w:t>.</w:t>
      </w:r>
    </w:p>
    <w:bookmarkStart w:id="121" w:name="_edn46"/>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46</w:t>
      </w:r>
      <w:r w:rsidRPr="00286172">
        <w:rPr>
          <w:rFonts w:ascii="Times New Roman" w:eastAsia="Times New Roman" w:hAnsi="Times New Roman" w:cs="B Mitra"/>
          <w:color w:val="000000"/>
          <w:sz w:val="24"/>
          <w:szCs w:val="24"/>
        </w:rPr>
        <w:fldChar w:fldCharType="end"/>
      </w:r>
      <w:bookmarkEnd w:id="121"/>
      <w:r w:rsidRPr="00286172">
        <w:rPr>
          <w:rFonts w:ascii="Times New Roman" w:eastAsia="Times New Roman" w:hAnsi="Times New Roman" w:cs="B Mitra" w:hint="cs"/>
          <w:color w:val="000000"/>
          <w:sz w:val="24"/>
          <w:szCs w:val="24"/>
        </w:rPr>
        <w:t>. Beckwith, Francis. J, Do the Right Things, A Philosophical Dialogue on the Moral and Social Issue of Our Time, U.S.A, university of Nevada, Las Vegas, 1995, p 45.</w:t>
      </w:r>
    </w:p>
    <w:bookmarkStart w:id="122" w:name="_edn47"/>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47</w:t>
      </w:r>
      <w:r w:rsidRPr="00286172">
        <w:rPr>
          <w:rFonts w:ascii="Times New Roman" w:eastAsia="Times New Roman" w:hAnsi="Times New Roman" w:cs="B Mitra"/>
          <w:color w:val="000000"/>
          <w:sz w:val="24"/>
          <w:szCs w:val="24"/>
        </w:rPr>
        <w:fldChar w:fldCharType="end"/>
      </w:r>
      <w:bookmarkEnd w:id="122"/>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سيد‌احمد رهنمايي،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 بر مباني ارزش‌ها</w:t>
      </w:r>
      <w:r w:rsidRPr="00286172">
        <w:rPr>
          <w:rFonts w:ascii="Times New Roman" w:eastAsia="Times New Roman" w:hAnsi="Times New Roman" w:cs="B Mitra" w:hint="cs"/>
          <w:color w:val="000000"/>
          <w:sz w:val="24"/>
          <w:szCs w:val="24"/>
          <w:rtl/>
        </w:rPr>
        <w:t>، ص 33</w:t>
      </w:r>
      <w:r w:rsidRPr="00286172">
        <w:rPr>
          <w:rFonts w:ascii="Times New Roman" w:eastAsia="Times New Roman" w:hAnsi="Times New Roman" w:cs="B Mitra" w:hint="cs"/>
          <w:color w:val="000000"/>
          <w:sz w:val="24"/>
          <w:szCs w:val="24"/>
        </w:rPr>
        <w:t>.</w:t>
      </w:r>
    </w:p>
    <w:bookmarkStart w:id="123" w:name="_edn48"/>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48</w:t>
      </w:r>
      <w:r w:rsidRPr="00286172">
        <w:rPr>
          <w:rFonts w:ascii="Times New Roman" w:eastAsia="Times New Roman" w:hAnsi="Times New Roman" w:cs="B Mitra"/>
          <w:color w:val="000000"/>
          <w:sz w:val="24"/>
          <w:szCs w:val="24"/>
        </w:rPr>
        <w:fldChar w:fldCharType="end"/>
      </w:r>
      <w:bookmarkEnd w:id="123"/>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مجتبي مصباح،</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w:t>
      </w:r>
      <w:r w:rsidRPr="00286172">
        <w:rPr>
          <w:rFonts w:ascii="Times New Roman" w:eastAsia="Times New Roman" w:hAnsi="Times New Roman" w:cs="B Mitra" w:hint="cs"/>
          <w:color w:val="000000"/>
          <w:sz w:val="24"/>
          <w:szCs w:val="24"/>
          <w:rtl/>
        </w:rPr>
        <w:t>، ص22</w:t>
      </w:r>
      <w:r w:rsidRPr="00286172">
        <w:rPr>
          <w:rFonts w:ascii="Times New Roman" w:eastAsia="Times New Roman" w:hAnsi="Times New Roman" w:cs="B Mitra" w:hint="cs"/>
          <w:color w:val="000000"/>
          <w:sz w:val="24"/>
          <w:szCs w:val="24"/>
        </w:rPr>
        <w:t>.</w:t>
      </w:r>
    </w:p>
    <w:bookmarkStart w:id="124" w:name="_edn49"/>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"_ednref49"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49</w:t>
      </w:r>
      <w:r w:rsidRPr="00286172">
        <w:rPr>
          <w:rFonts w:ascii="Times New Roman" w:eastAsia="Times New Roman" w:hAnsi="Times New Roman" w:cs="B Mitra"/>
          <w:color w:val="000000"/>
          <w:sz w:val="24"/>
          <w:szCs w:val="24"/>
        </w:rPr>
        <w:fldChar w:fldCharType="end"/>
      </w:r>
      <w:bookmarkEnd w:id="124"/>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براي مطالعه بيشتر، ر.ک: مصباح، همان، ص 33- 34</w:t>
      </w:r>
      <w:r w:rsidRPr="00286172">
        <w:rPr>
          <w:rFonts w:ascii="Times New Roman" w:eastAsia="Times New Roman" w:hAnsi="Times New Roman" w:cs="B Mitra" w:hint="cs"/>
          <w:color w:val="000000"/>
          <w:sz w:val="24"/>
          <w:szCs w:val="24"/>
        </w:rPr>
        <w:t>.</w:t>
      </w:r>
    </w:p>
    <w:bookmarkStart w:id="125" w:name="_edn50"/>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50</w:t>
      </w:r>
      <w:r w:rsidRPr="00286172">
        <w:rPr>
          <w:rFonts w:ascii="Times New Roman" w:eastAsia="Times New Roman" w:hAnsi="Times New Roman" w:cs="B Mitra"/>
          <w:color w:val="000000"/>
          <w:sz w:val="24"/>
          <w:szCs w:val="24"/>
        </w:rPr>
        <w:fldChar w:fldCharType="end"/>
      </w:r>
      <w:bookmarkEnd w:id="125"/>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مجتبي مصباح،</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بنياد اخلاق، روشي نو در آموزش فلسفه اخلاق</w:t>
      </w:r>
      <w:r w:rsidRPr="00286172">
        <w:rPr>
          <w:rFonts w:ascii="Times New Roman" w:eastAsia="Times New Roman" w:hAnsi="Times New Roman" w:cs="B Mitra" w:hint="cs"/>
          <w:color w:val="000000"/>
          <w:sz w:val="24"/>
          <w:szCs w:val="24"/>
          <w:rtl/>
        </w:rPr>
        <w:t>، ص 125- 126</w:t>
      </w:r>
      <w:r w:rsidRPr="00286172">
        <w:rPr>
          <w:rFonts w:ascii="Times New Roman" w:eastAsia="Times New Roman" w:hAnsi="Times New Roman" w:cs="B Mitra" w:hint="cs"/>
          <w:color w:val="000000"/>
          <w:sz w:val="24"/>
          <w:szCs w:val="24"/>
        </w:rPr>
        <w:t>.</w:t>
      </w:r>
    </w:p>
    <w:bookmarkStart w:id="126" w:name="_edn51"/>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51</w:t>
      </w:r>
      <w:r w:rsidRPr="00286172">
        <w:rPr>
          <w:rFonts w:ascii="Times New Roman" w:eastAsia="Times New Roman" w:hAnsi="Times New Roman" w:cs="B Mitra"/>
          <w:color w:val="000000"/>
          <w:sz w:val="24"/>
          <w:szCs w:val="24"/>
        </w:rPr>
        <w:fldChar w:fldCharType="end"/>
      </w:r>
      <w:bookmarkEnd w:id="126"/>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ويليام کي فرانکنا،</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w:t>
      </w:r>
      <w:r w:rsidRPr="00286172">
        <w:rPr>
          <w:rFonts w:ascii="Times New Roman" w:eastAsia="Times New Roman" w:hAnsi="Times New Roman" w:cs="B Mitra" w:hint="cs"/>
          <w:color w:val="000000"/>
          <w:sz w:val="24"/>
          <w:szCs w:val="24"/>
          <w:rtl/>
        </w:rPr>
        <w:t>، ترجمه هادي صادقي، ص 204</w:t>
      </w:r>
      <w:r w:rsidRPr="00286172">
        <w:rPr>
          <w:rFonts w:ascii="Times New Roman" w:eastAsia="Times New Roman" w:hAnsi="Times New Roman" w:cs="B Mitra" w:hint="cs"/>
          <w:color w:val="000000"/>
          <w:sz w:val="24"/>
          <w:szCs w:val="24"/>
        </w:rPr>
        <w:t>.</w:t>
      </w:r>
    </w:p>
    <w:bookmarkStart w:id="127" w:name="_edn52"/>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52</w:t>
      </w:r>
      <w:r w:rsidRPr="00286172">
        <w:rPr>
          <w:rFonts w:ascii="Times New Roman" w:eastAsia="Times New Roman" w:hAnsi="Times New Roman" w:cs="B Mitra"/>
          <w:color w:val="000000"/>
          <w:sz w:val="24"/>
          <w:szCs w:val="24"/>
        </w:rPr>
        <w:fldChar w:fldCharType="end"/>
      </w:r>
      <w:bookmarkEnd w:id="127"/>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خواص و ديگران، همان، ص 48-49</w:t>
      </w:r>
      <w:r w:rsidRPr="00286172">
        <w:rPr>
          <w:rFonts w:ascii="Times New Roman" w:eastAsia="Times New Roman" w:hAnsi="Times New Roman" w:cs="B Mitra" w:hint="cs"/>
          <w:color w:val="000000"/>
          <w:sz w:val="24"/>
          <w:szCs w:val="24"/>
        </w:rPr>
        <w:t>.</w:t>
      </w:r>
    </w:p>
    <w:bookmarkStart w:id="128" w:name="_edn53"/>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53</w:t>
      </w:r>
      <w:r w:rsidRPr="00286172">
        <w:rPr>
          <w:rFonts w:ascii="Times New Roman" w:eastAsia="Times New Roman" w:hAnsi="Times New Roman" w:cs="B Mitra"/>
          <w:color w:val="000000"/>
          <w:sz w:val="24"/>
          <w:szCs w:val="24"/>
        </w:rPr>
        <w:fldChar w:fldCharType="end"/>
      </w:r>
      <w:bookmarkEnd w:id="128"/>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مصباح يزدي، همان، ص 33</w:t>
      </w:r>
      <w:r w:rsidRPr="00286172">
        <w:rPr>
          <w:rFonts w:ascii="Times New Roman" w:eastAsia="Times New Roman" w:hAnsi="Times New Roman" w:cs="B Mitra" w:hint="cs"/>
          <w:color w:val="000000"/>
          <w:sz w:val="24"/>
          <w:szCs w:val="24"/>
        </w:rPr>
        <w:t>.</w:t>
      </w:r>
    </w:p>
    <w:bookmarkStart w:id="129" w:name="_edn54"/>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54</w:t>
      </w:r>
      <w:r w:rsidRPr="00286172">
        <w:rPr>
          <w:rFonts w:ascii="Times New Roman" w:eastAsia="Times New Roman" w:hAnsi="Times New Roman" w:cs="B Mitra"/>
          <w:color w:val="000000"/>
          <w:sz w:val="24"/>
          <w:szCs w:val="24"/>
        </w:rPr>
        <w:fldChar w:fldCharType="end"/>
      </w:r>
      <w:bookmarkEnd w:id="129"/>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جورج ادوارد مور،</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اخلاق</w:t>
      </w:r>
      <w:r w:rsidRPr="00286172">
        <w:rPr>
          <w:rFonts w:ascii="Times New Roman" w:eastAsia="Times New Roman" w:hAnsi="Times New Roman" w:cs="B Mitra" w:hint="cs"/>
          <w:color w:val="000000"/>
          <w:sz w:val="24"/>
          <w:szCs w:val="24"/>
          <w:rtl/>
        </w:rPr>
        <w:t>، ترجمه اسماعيل سعادت، ص 71</w:t>
      </w:r>
      <w:r w:rsidRPr="00286172">
        <w:rPr>
          <w:rFonts w:ascii="Times New Roman" w:eastAsia="Times New Roman" w:hAnsi="Times New Roman" w:cs="B Mitra" w:hint="cs"/>
          <w:color w:val="000000"/>
          <w:sz w:val="24"/>
          <w:szCs w:val="24"/>
        </w:rPr>
        <w:t>.</w:t>
      </w:r>
    </w:p>
    <w:bookmarkStart w:id="130" w:name="_edn55"/>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55</w:t>
      </w:r>
      <w:r w:rsidRPr="00286172">
        <w:rPr>
          <w:rFonts w:ascii="Times New Roman" w:eastAsia="Times New Roman" w:hAnsi="Times New Roman" w:cs="B Mitra"/>
          <w:color w:val="000000"/>
          <w:sz w:val="24"/>
          <w:szCs w:val="24"/>
        </w:rPr>
        <w:fldChar w:fldCharType="end"/>
      </w:r>
      <w:bookmarkEnd w:id="130"/>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جمعي از نويسندگان، «مقالاتي در باب اخلاق هنجاري</w:t>
      </w:r>
      <w:r w:rsidRPr="00286172">
        <w:rPr>
          <w:rFonts w:ascii="Times New Roman" w:eastAsia="Times New Roman" w:hAnsi="Times New Roman" w:cs="B Mitra" w:hint="cs"/>
          <w:color w:val="000000"/>
          <w:sz w:val="24"/>
          <w:szCs w:val="24"/>
        </w:rPr>
        <w:t>»</w:t>
      </w:r>
      <w:r w:rsidRPr="00286172">
        <w:rPr>
          <w:rFonts w:ascii="Times New Roman" w:eastAsia="Times New Roman" w:hAnsi="Times New Roman" w:cs="B Mitra" w:hint="cs"/>
          <w:color w:val="000000"/>
          <w:sz w:val="24"/>
          <w:szCs w:val="24"/>
          <w:rtl/>
        </w:rPr>
        <w:t>،</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اخلاق کاربردي و فرااخلاق</w:t>
      </w:r>
      <w:r w:rsidRPr="00286172">
        <w:rPr>
          <w:rFonts w:ascii="Times New Roman" w:eastAsia="Times New Roman" w:hAnsi="Times New Roman" w:cs="B Mitra" w:hint="cs"/>
          <w:color w:val="000000"/>
          <w:sz w:val="24"/>
          <w:szCs w:val="24"/>
          <w:rtl/>
        </w:rPr>
        <w:t>، ترجمه محمود فتحعلي، ص40</w:t>
      </w:r>
      <w:r w:rsidRPr="00286172">
        <w:rPr>
          <w:rFonts w:ascii="Times New Roman" w:eastAsia="Times New Roman" w:hAnsi="Times New Roman" w:cs="B Mitra" w:hint="cs"/>
          <w:color w:val="000000"/>
          <w:sz w:val="24"/>
          <w:szCs w:val="24"/>
        </w:rPr>
        <w:t>.</w:t>
      </w:r>
    </w:p>
    <w:bookmarkStart w:id="131" w:name="_edn56"/>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56</w:t>
      </w:r>
      <w:r w:rsidRPr="00286172">
        <w:rPr>
          <w:rFonts w:ascii="Times New Roman" w:eastAsia="Times New Roman" w:hAnsi="Times New Roman" w:cs="B Mitra"/>
          <w:color w:val="000000"/>
          <w:sz w:val="24"/>
          <w:szCs w:val="24"/>
        </w:rPr>
        <w:fldChar w:fldCharType="end"/>
      </w:r>
      <w:bookmarkEnd w:id="131"/>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مصباح يزدي، همان، ص33</w:t>
      </w:r>
      <w:r w:rsidRPr="00286172">
        <w:rPr>
          <w:rFonts w:ascii="Times New Roman" w:eastAsia="Times New Roman" w:hAnsi="Times New Roman" w:cs="B Mitra" w:hint="cs"/>
          <w:color w:val="000000"/>
          <w:sz w:val="24"/>
          <w:szCs w:val="24"/>
        </w:rPr>
        <w:t>.</w:t>
      </w:r>
    </w:p>
    <w:bookmarkStart w:id="132" w:name="_edn57"/>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57</w:t>
      </w:r>
      <w:r w:rsidRPr="00286172">
        <w:rPr>
          <w:rFonts w:ascii="Times New Roman" w:eastAsia="Times New Roman" w:hAnsi="Times New Roman" w:cs="B Mitra"/>
          <w:color w:val="000000"/>
          <w:sz w:val="24"/>
          <w:szCs w:val="24"/>
        </w:rPr>
        <w:fldChar w:fldCharType="end"/>
      </w:r>
      <w:bookmarkEnd w:id="132"/>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همان، ص 34</w:t>
      </w:r>
      <w:r w:rsidRPr="00286172">
        <w:rPr>
          <w:rFonts w:ascii="Times New Roman" w:eastAsia="Times New Roman" w:hAnsi="Times New Roman" w:cs="B Mitra" w:hint="cs"/>
          <w:color w:val="000000"/>
          <w:sz w:val="24"/>
          <w:szCs w:val="24"/>
        </w:rPr>
        <w:t>.</w:t>
      </w:r>
    </w:p>
    <w:bookmarkStart w:id="133" w:name="_edn58"/>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58</w:t>
      </w:r>
      <w:r w:rsidRPr="00286172">
        <w:rPr>
          <w:rFonts w:ascii="Times New Roman" w:eastAsia="Times New Roman" w:hAnsi="Times New Roman" w:cs="B Mitra"/>
          <w:color w:val="000000"/>
          <w:sz w:val="24"/>
          <w:szCs w:val="24"/>
        </w:rPr>
        <w:fldChar w:fldCharType="end"/>
      </w:r>
      <w:bookmarkEnd w:id="133"/>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محمدتقي مصباح يزدي،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فلسفه اخلاق</w:t>
      </w:r>
      <w:r w:rsidRPr="00286172">
        <w:rPr>
          <w:rFonts w:ascii="Times New Roman" w:eastAsia="Times New Roman" w:hAnsi="Times New Roman" w:cs="B Mitra" w:hint="cs"/>
          <w:color w:val="000000"/>
          <w:sz w:val="24"/>
          <w:szCs w:val="24"/>
          <w:rtl/>
        </w:rPr>
        <w:t>، ص 22</w:t>
      </w:r>
      <w:r w:rsidRPr="00286172">
        <w:rPr>
          <w:rFonts w:ascii="Times New Roman" w:eastAsia="Times New Roman" w:hAnsi="Times New Roman" w:cs="B Mitra" w:hint="cs"/>
          <w:color w:val="000000"/>
          <w:sz w:val="24"/>
          <w:szCs w:val="24"/>
        </w:rPr>
        <w:t>.</w:t>
      </w:r>
    </w:p>
    <w:bookmarkStart w:id="134" w:name="_edn59"/>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"_ednref59"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59</w:t>
      </w:r>
      <w:r w:rsidRPr="00286172">
        <w:rPr>
          <w:rFonts w:ascii="Times New Roman" w:eastAsia="Times New Roman" w:hAnsi="Times New Roman" w:cs="B Mitra"/>
          <w:color w:val="000000"/>
          <w:sz w:val="24"/>
          <w:szCs w:val="24"/>
        </w:rPr>
        <w:fldChar w:fldCharType="end"/>
      </w:r>
      <w:bookmarkEnd w:id="134"/>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ر.ک: مرتضي مطهري،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فطرت</w:t>
      </w:r>
      <w:r w:rsidRPr="00286172">
        <w:rPr>
          <w:rFonts w:ascii="Times New Roman" w:eastAsia="Times New Roman" w:hAnsi="Times New Roman" w:cs="B Mitra" w:hint="cs"/>
          <w:color w:val="000000"/>
          <w:sz w:val="24"/>
          <w:szCs w:val="24"/>
          <w:rtl/>
        </w:rPr>
        <w:t>، ص 152-153</w:t>
      </w:r>
      <w:r w:rsidRPr="00286172">
        <w:rPr>
          <w:rFonts w:ascii="Times New Roman" w:eastAsia="Times New Roman" w:hAnsi="Times New Roman" w:cs="B Mitra" w:hint="cs"/>
          <w:color w:val="000000"/>
          <w:sz w:val="24"/>
          <w:szCs w:val="24"/>
        </w:rPr>
        <w:t>.</w:t>
      </w:r>
    </w:p>
    <w:bookmarkStart w:id="135" w:name="_edn60"/>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60</w:t>
      </w:r>
      <w:r w:rsidRPr="00286172">
        <w:rPr>
          <w:rFonts w:ascii="Times New Roman" w:eastAsia="Times New Roman" w:hAnsi="Times New Roman" w:cs="B Mitra"/>
          <w:color w:val="000000"/>
          <w:sz w:val="24"/>
          <w:szCs w:val="24"/>
        </w:rPr>
        <w:fldChar w:fldCharType="end"/>
      </w:r>
      <w:bookmarkEnd w:id="135"/>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برنارد، همان، ص 155. (يادداشت‌هاي مترجم</w:t>
      </w:r>
      <w:r w:rsidRPr="00286172">
        <w:rPr>
          <w:rFonts w:ascii="Times New Roman" w:eastAsia="Times New Roman" w:hAnsi="Times New Roman" w:cs="B Mitra" w:hint="cs"/>
          <w:color w:val="000000"/>
          <w:sz w:val="24"/>
          <w:szCs w:val="24"/>
        </w:rPr>
        <w:t>)</w:t>
      </w:r>
    </w:p>
    <w:bookmarkStart w:id="136" w:name="_edn61"/>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"_ednref61"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61</w:t>
      </w:r>
      <w:r w:rsidRPr="00286172">
        <w:rPr>
          <w:rFonts w:ascii="Times New Roman" w:eastAsia="Times New Roman" w:hAnsi="Times New Roman" w:cs="B Mitra"/>
          <w:color w:val="000000"/>
          <w:sz w:val="24"/>
          <w:szCs w:val="24"/>
        </w:rPr>
        <w:fldChar w:fldCharType="end"/>
      </w:r>
      <w:bookmarkEnd w:id="136"/>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ديويد مک ناوتن، نگاه اخلاقي،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درآمدي به فلسفه اخلاق</w:t>
      </w:r>
      <w:r w:rsidRPr="00286172">
        <w:rPr>
          <w:rFonts w:ascii="Times New Roman" w:eastAsia="Times New Roman" w:hAnsi="Times New Roman" w:cs="B Mitra" w:hint="cs"/>
          <w:color w:val="000000"/>
          <w:sz w:val="24"/>
          <w:szCs w:val="24"/>
          <w:rtl/>
        </w:rPr>
        <w:t>، ترجمه حسن ميان‌داري، ص 241 - 242</w:t>
      </w:r>
      <w:r w:rsidRPr="00286172">
        <w:rPr>
          <w:rFonts w:ascii="Times New Roman" w:eastAsia="Times New Roman" w:hAnsi="Times New Roman" w:cs="B Mitra" w:hint="cs"/>
          <w:color w:val="000000"/>
          <w:sz w:val="24"/>
          <w:szCs w:val="24"/>
        </w:rPr>
        <w:t>.</w:t>
      </w:r>
    </w:p>
    <w:bookmarkStart w:id="137" w:name="_edn62"/>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lastRenderedPageBreak/>
        <w:fldChar w:fldCharType="begin"/>
      </w:r>
      <w:r w:rsidRPr="00286172">
        <w:rPr>
          <w:rFonts w:ascii="Times New Roman" w:eastAsia="Times New Roman" w:hAnsi="Times New Roman" w:cs="B Mitra"/>
          <w:color w:val="000000"/>
          <w:sz w:val="24"/>
          <w:szCs w:val="24"/>
        </w:rPr>
        <w:instrText xml:space="preserve"> HYPERLINK "http://marefateakhlagi.nashriyat.ir/node/87" \l "_ednref62"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62</w:t>
      </w:r>
      <w:r w:rsidRPr="00286172">
        <w:rPr>
          <w:rFonts w:ascii="Times New Roman" w:eastAsia="Times New Roman" w:hAnsi="Times New Roman" w:cs="B Mitra"/>
          <w:color w:val="000000"/>
          <w:sz w:val="24"/>
          <w:szCs w:val="24"/>
        </w:rPr>
        <w:fldChar w:fldCharType="end"/>
      </w:r>
      <w:bookmarkEnd w:id="137"/>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سروش دباغ،</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عام و خاص در اخلاق</w:t>
      </w:r>
      <w:r w:rsidRPr="00286172">
        <w:rPr>
          <w:rFonts w:ascii="Times New Roman" w:eastAsia="Times New Roman" w:hAnsi="Times New Roman" w:cs="B Mitra" w:hint="cs"/>
          <w:color w:val="000000"/>
          <w:sz w:val="24"/>
          <w:szCs w:val="24"/>
          <w:rtl/>
        </w:rPr>
        <w:t>، ص 31 و 35</w:t>
      </w:r>
      <w:r w:rsidRPr="00286172">
        <w:rPr>
          <w:rFonts w:ascii="Times New Roman" w:eastAsia="Times New Roman" w:hAnsi="Times New Roman" w:cs="B Mitra" w:hint="cs"/>
          <w:color w:val="000000"/>
          <w:sz w:val="24"/>
          <w:szCs w:val="24"/>
        </w:rPr>
        <w:t>.</w:t>
      </w:r>
    </w:p>
    <w:bookmarkStart w:id="138" w:name="_edn63"/>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"_ednref63"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63</w:t>
      </w:r>
      <w:r w:rsidRPr="00286172">
        <w:rPr>
          <w:rFonts w:ascii="Times New Roman" w:eastAsia="Times New Roman" w:hAnsi="Times New Roman" w:cs="B Mitra"/>
          <w:color w:val="000000"/>
          <w:sz w:val="24"/>
          <w:szCs w:val="24"/>
        </w:rPr>
        <w:fldChar w:fldCharType="end"/>
      </w:r>
      <w:bookmarkEnd w:id="138"/>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ر.ک: مک ناوتن، همان، ص 246</w:t>
      </w:r>
      <w:r w:rsidRPr="00286172">
        <w:rPr>
          <w:rFonts w:ascii="Times New Roman" w:eastAsia="Times New Roman" w:hAnsi="Times New Roman" w:cs="B Mitra" w:hint="cs"/>
          <w:color w:val="000000"/>
          <w:sz w:val="24"/>
          <w:szCs w:val="24"/>
        </w:rPr>
        <w:t>.</w:t>
      </w:r>
    </w:p>
    <w:bookmarkStart w:id="139" w:name="_edn64"/>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"_ednref64"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64</w:t>
      </w:r>
      <w:r w:rsidRPr="00286172">
        <w:rPr>
          <w:rFonts w:ascii="Times New Roman" w:eastAsia="Times New Roman" w:hAnsi="Times New Roman" w:cs="B Mitra"/>
          <w:color w:val="000000"/>
          <w:sz w:val="24"/>
          <w:szCs w:val="24"/>
        </w:rPr>
        <w:fldChar w:fldCharType="end"/>
      </w:r>
      <w:bookmarkEnd w:id="139"/>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هولمز، همان، ص 467</w:t>
      </w:r>
      <w:r w:rsidRPr="00286172">
        <w:rPr>
          <w:rFonts w:ascii="Times New Roman" w:eastAsia="Times New Roman" w:hAnsi="Times New Roman" w:cs="B Mitra" w:hint="cs"/>
          <w:color w:val="000000"/>
          <w:sz w:val="24"/>
          <w:szCs w:val="24"/>
        </w:rPr>
        <w:t>.</w:t>
      </w:r>
    </w:p>
    <w:bookmarkStart w:id="140" w:name="_edn65"/>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"_ednref65"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65</w:t>
      </w:r>
      <w:r w:rsidRPr="00286172">
        <w:rPr>
          <w:rFonts w:ascii="Times New Roman" w:eastAsia="Times New Roman" w:hAnsi="Times New Roman" w:cs="B Mitra"/>
          <w:color w:val="000000"/>
          <w:sz w:val="24"/>
          <w:szCs w:val="24"/>
        </w:rPr>
        <w:fldChar w:fldCharType="end"/>
      </w:r>
      <w:bookmarkEnd w:id="140"/>
      <w:r w:rsidRPr="00286172">
        <w:rPr>
          <w:rFonts w:ascii="Times New Roman" w:eastAsia="Times New Roman" w:hAnsi="Times New Roman" w:cs="B Mitra" w:hint="cs"/>
          <w:color w:val="000000"/>
          <w:sz w:val="24"/>
          <w:szCs w:val="24"/>
        </w:rPr>
        <w:t>. Beckwith, Ibid, p 50.</w:t>
      </w:r>
    </w:p>
    <w:bookmarkStart w:id="141" w:name="_edn66"/>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"_ednref66"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66</w:t>
      </w:r>
      <w:r w:rsidRPr="00286172">
        <w:rPr>
          <w:rFonts w:ascii="Times New Roman" w:eastAsia="Times New Roman" w:hAnsi="Times New Roman" w:cs="B Mitra"/>
          <w:color w:val="000000"/>
          <w:sz w:val="24"/>
          <w:szCs w:val="24"/>
        </w:rPr>
        <w:fldChar w:fldCharType="end"/>
      </w:r>
      <w:bookmarkEnd w:id="141"/>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سروش دباغ، همان، ص 40</w:t>
      </w:r>
      <w:r w:rsidRPr="00286172">
        <w:rPr>
          <w:rFonts w:ascii="Times New Roman" w:eastAsia="Times New Roman" w:hAnsi="Times New Roman" w:cs="B Mitra" w:hint="cs"/>
          <w:color w:val="000000"/>
          <w:sz w:val="24"/>
          <w:szCs w:val="24"/>
        </w:rPr>
        <w:t>.</w:t>
      </w:r>
    </w:p>
    <w:bookmarkStart w:id="142" w:name="_edn67"/>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"_ednref67"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67</w:t>
      </w:r>
      <w:r w:rsidRPr="00286172">
        <w:rPr>
          <w:rFonts w:ascii="Times New Roman" w:eastAsia="Times New Roman" w:hAnsi="Times New Roman" w:cs="B Mitra"/>
          <w:color w:val="000000"/>
          <w:sz w:val="24"/>
          <w:szCs w:val="24"/>
        </w:rPr>
        <w:fldChar w:fldCharType="end"/>
      </w:r>
      <w:bookmarkEnd w:id="142"/>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همان، ص 42-43</w:t>
      </w:r>
      <w:r w:rsidRPr="00286172">
        <w:rPr>
          <w:rFonts w:ascii="Times New Roman" w:eastAsia="Times New Roman" w:hAnsi="Times New Roman" w:cs="B Mitra" w:hint="cs"/>
          <w:color w:val="000000"/>
          <w:sz w:val="24"/>
          <w:szCs w:val="24"/>
        </w:rPr>
        <w:t>.</w:t>
      </w:r>
    </w:p>
    <w:bookmarkStart w:id="143" w:name="_edn68"/>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"_ednref68"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68</w:t>
      </w:r>
      <w:r w:rsidRPr="00286172">
        <w:rPr>
          <w:rFonts w:ascii="Times New Roman" w:eastAsia="Times New Roman" w:hAnsi="Times New Roman" w:cs="B Mitra"/>
          <w:color w:val="000000"/>
          <w:sz w:val="24"/>
          <w:szCs w:val="24"/>
        </w:rPr>
        <w:fldChar w:fldCharType="end"/>
      </w:r>
      <w:bookmarkEnd w:id="143"/>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محمدتقي مصباح يزدي،</w:t>
      </w:r>
      <w:r w:rsidRPr="00286172">
        <w:rPr>
          <w:rFonts w:ascii="Cambria" w:eastAsia="Times New Roman" w:hAnsi="Cambria" w:cs="Cambria" w:hint="cs"/>
          <w:color w:val="000000"/>
          <w:sz w:val="24"/>
          <w:szCs w:val="24"/>
          <w:rtl/>
        </w:rPr>
        <w:t> </w:t>
      </w:r>
      <w:r w:rsidRPr="00286172">
        <w:rPr>
          <w:rFonts w:ascii="Times New Roman" w:eastAsia="Times New Roman" w:hAnsi="Times New Roman" w:cs="B Mitra" w:hint="cs"/>
          <w:b/>
          <w:bCs/>
          <w:i/>
          <w:iCs/>
          <w:color w:val="000000"/>
          <w:sz w:val="24"/>
          <w:szCs w:val="24"/>
          <w:rtl/>
        </w:rPr>
        <w:t>نقد و بررسي مکاتب اخلاقي</w:t>
      </w:r>
      <w:r w:rsidRPr="00286172">
        <w:rPr>
          <w:rFonts w:ascii="Times New Roman" w:eastAsia="Times New Roman" w:hAnsi="Times New Roman" w:cs="B Mitra" w:hint="cs"/>
          <w:color w:val="000000"/>
          <w:sz w:val="24"/>
          <w:szCs w:val="24"/>
          <w:rtl/>
        </w:rPr>
        <w:t>، همان، ص 77</w:t>
      </w:r>
      <w:r w:rsidRPr="00286172">
        <w:rPr>
          <w:rFonts w:ascii="Times New Roman" w:eastAsia="Times New Roman" w:hAnsi="Times New Roman" w:cs="B Mitra" w:hint="cs"/>
          <w:color w:val="000000"/>
          <w:sz w:val="24"/>
          <w:szCs w:val="24"/>
        </w:rPr>
        <w:t>.</w:t>
      </w:r>
    </w:p>
    <w:bookmarkStart w:id="144" w:name="_edn69"/>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"_ednref69"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69</w:t>
      </w:r>
      <w:r w:rsidRPr="00286172">
        <w:rPr>
          <w:rFonts w:ascii="Times New Roman" w:eastAsia="Times New Roman" w:hAnsi="Times New Roman" w:cs="B Mitra"/>
          <w:color w:val="000000"/>
          <w:sz w:val="24"/>
          <w:szCs w:val="24"/>
        </w:rPr>
        <w:fldChar w:fldCharType="end"/>
      </w:r>
      <w:bookmarkEnd w:id="144"/>
      <w:r w:rsidRPr="00286172">
        <w:rPr>
          <w:rFonts w:ascii="Times New Roman" w:eastAsia="Times New Roman" w:hAnsi="Times New Roman" w:cs="B Mitra" w:hint="cs"/>
          <w:color w:val="000000"/>
          <w:sz w:val="24"/>
          <w:szCs w:val="24"/>
        </w:rPr>
        <w:t>. Harris, Ibid, p 48.</w:t>
      </w:r>
    </w:p>
    <w:bookmarkStart w:id="145" w:name="_edn70"/>
    <w:p w:rsidR="00286172" w:rsidRPr="00286172" w:rsidRDefault="00286172" w:rsidP="00E270F2">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286172">
        <w:rPr>
          <w:rFonts w:ascii="Times New Roman" w:eastAsia="Times New Roman" w:hAnsi="Times New Roman" w:cs="B Mitra"/>
          <w:color w:val="000000"/>
          <w:sz w:val="24"/>
          <w:szCs w:val="24"/>
        </w:rPr>
        <w:fldChar w:fldCharType="begin"/>
      </w:r>
      <w:r w:rsidRPr="00286172">
        <w:rPr>
          <w:rFonts w:ascii="Times New Roman" w:eastAsia="Times New Roman" w:hAnsi="Times New Roman" w:cs="B Mitra"/>
          <w:color w:val="000000"/>
          <w:sz w:val="24"/>
          <w:szCs w:val="24"/>
        </w:rPr>
        <w:instrText xml:space="preserve"> HYPERLINK "http://marefateakhlagi.nashriyat.ir/node/87" \l "_ednref70" \o "" </w:instrText>
      </w:r>
      <w:r w:rsidRPr="00286172">
        <w:rPr>
          <w:rFonts w:ascii="Times New Roman" w:eastAsia="Times New Roman" w:hAnsi="Times New Roman" w:cs="B Mitra"/>
          <w:color w:val="000000"/>
          <w:sz w:val="24"/>
          <w:szCs w:val="24"/>
        </w:rPr>
        <w:fldChar w:fldCharType="separate"/>
      </w:r>
      <w:r w:rsidRPr="00286172">
        <w:rPr>
          <w:rFonts w:ascii="Times New Roman" w:eastAsia="Times New Roman" w:hAnsi="Times New Roman" w:cs="B Mitra" w:hint="cs"/>
          <w:color w:val="000080"/>
          <w:sz w:val="24"/>
          <w:szCs w:val="24"/>
        </w:rPr>
        <w:t>70</w:t>
      </w:r>
      <w:r w:rsidRPr="00286172">
        <w:rPr>
          <w:rFonts w:ascii="Times New Roman" w:eastAsia="Times New Roman" w:hAnsi="Times New Roman" w:cs="B Mitra"/>
          <w:color w:val="000000"/>
          <w:sz w:val="24"/>
          <w:szCs w:val="24"/>
        </w:rPr>
        <w:fldChar w:fldCharType="end"/>
      </w:r>
      <w:bookmarkEnd w:id="145"/>
      <w:r w:rsidRPr="00286172">
        <w:rPr>
          <w:rFonts w:ascii="Times New Roman" w:eastAsia="Times New Roman" w:hAnsi="Times New Roman" w:cs="B Mitra" w:hint="cs"/>
          <w:color w:val="000000"/>
          <w:sz w:val="24"/>
          <w:szCs w:val="24"/>
        </w:rPr>
        <w:t xml:space="preserve">. </w:t>
      </w:r>
      <w:r w:rsidRPr="00286172">
        <w:rPr>
          <w:rFonts w:ascii="Times New Roman" w:eastAsia="Times New Roman" w:hAnsi="Times New Roman" w:cs="B Mitra" w:hint="cs"/>
          <w:color w:val="000000"/>
          <w:sz w:val="24"/>
          <w:szCs w:val="24"/>
          <w:rtl/>
        </w:rPr>
        <w:t>مک ناوتن، همان، ص 18-20</w:t>
      </w:r>
      <w:r w:rsidRPr="00286172">
        <w:rPr>
          <w:rFonts w:ascii="Times New Roman" w:eastAsia="Times New Roman" w:hAnsi="Times New Roman" w:cs="B Mitra" w:hint="cs"/>
          <w:color w:val="000000"/>
          <w:sz w:val="24"/>
          <w:szCs w:val="24"/>
        </w:rPr>
        <w:t>.</w:t>
      </w:r>
    </w:p>
    <w:p w:rsidR="00CB0084" w:rsidRDefault="00CB0084" w:rsidP="00E270F2"/>
    <w:sectPr w:rsidR="00CB0084"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E7"/>
    <w:rsid w:val="00286172"/>
    <w:rsid w:val="00B30DE7"/>
    <w:rsid w:val="00B86F9F"/>
    <w:rsid w:val="00CB0084"/>
    <w:rsid w:val="00E270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0568F-A526-4A42-9795-D9C04C22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8617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172"/>
    <w:rPr>
      <w:rFonts w:ascii="Times New Roman" w:eastAsia="Times New Roman" w:hAnsi="Times New Roman" w:cs="Times New Roman"/>
      <w:b/>
      <w:bCs/>
      <w:sz w:val="36"/>
      <w:szCs w:val="36"/>
    </w:rPr>
  </w:style>
  <w:style w:type="paragraph" w:customStyle="1" w:styleId="rtecenter">
    <w:name w:val="rtecenter"/>
    <w:basedOn w:val="Normal"/>
    <w:rsid w:val="0028617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2861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6172"/>
    <w:rPr>
      <w:color w:val="0000FF"/>
      <w:u w:val="single"/>
    </w:rPr>
  </w:style>
  <w:style w:type="character" w:styleId="FollowedHyperlink">
    <w:name w:val="FollowedHyperlink"/>
    <w:basedOn w:val="DefaultParagraphFont"/>
    <w:uiPriority w:val="99"/>
    <w:semiHidden/>
    <w:unhideWhenUsed/>
    <w:rsid w:val="00286172"/>
    <w:rPr>
      <w:color w:val="800080"/>
      <w:u w:val="single"/>
    </w:rPr>
  </w:style>
  <w:style w:type="paragraph" w:styleId="NormalWeb">
    <w:name w:val="Normal (Web)"/>
    <w:basedOn w:val="Normal"/>
    <w:uiPriority w:val="99"/>
    <w:semiHidden/>
    <w:unhideWhenUsed/>
    <w:rsid w:val="0028617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8098">
      <w:bodyDiv w:val="1"/>
      <w:marLeft w:val="0"/>
      <w:marRight w:val="0"/>
      <w:marTop w:val="0"/>
      <w:marBottom w:val="0"/>
      <w:divBdr>
        <w:top w:val="none" w:sz="0" w:space="0" w:color="auto"/>
        <w:left w:val="none" w:sz="0" w:space="0" w:color="auto"/>
        <w:bottom w:val="none" w:sz="0" w:space="0" w:color="auto"/>
        <w:right w:val="none" w:sz="0" w:space="0" w:color="auto"/>
      </w:divBdr>
      <w:divsChild>
        <w:div w:id="1563560511">
          <w:marLeft w:val="0"/>
          <w:marRight w:val="0"/>
          <w:marTop w:val="0"/>
          <w:marBottom w:val="0"/>
          <w:divBdr>
            <w:top w:val="none" w:sz="0" w:space="0" w:color="auto"/>
            <w:left w:val="none" w:sz="0" w:space="0" w:color="auto"/>
            <w:bottom w:val="none" w:sz="0" w:space="0" w:color="auto"/>
            <w:right w:val="none" w:sz="0" w:space="0" w:color="auto"/>
          </w:divBdr>
          <w:divsChild>
            <w:div w:id="5780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ifi1738@yahoo.com" TargetMode="External"/><Relationship Id="rId4" Type="http://schemas.openxmlformats.org/officeDocument/2006/relationships/hyperlink" Target="mailto:Peyro1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8764</Words>
  <Characters>49958</Characters>
  <Application>Microsoft Office Word</Application>
  <DocSecurity>0</DocSecurity>
  <Lines>416</Lines>
  <Paragraphs>117</Paragraphs>
  <ScaleCrop>false</ScaleCrop>
  <Company/>
  <LinksUpToDate>false</LinksUpToDate>
  <CharactersWithSpaces>58605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2018-01-27T10:15:00Z</dcterms:created>
  <dcterms:modified xsi:type="dcterms:W3CDTF">2018-03-05T08:22:00Z</dcterms:modified>
</cp:coreProperties>
</file>