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10" w:rsidRPr="00B34310" w:rsidRDefault="00B34310" w:rsidP="00B343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bookmarkStart w:id="0" w:name="_GoBack"/>
      <w:r w:rsidRPr="00B34310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راه عرفان، از اخلاق مى‏گذرد</w:t>
      </w:r>
    </w:p>
    <w:p w:rsidR="00B34310" w:rsidRPr="00B34310" w:rsidRDefault="00B34310" w:rsidP="00B34310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proofErr w:type="gramStart"/>
      <w:r w:rsidRPr="00B34310">
        <w:rPr>
          <w:rFonts w:ascii="Times New Roman" w:eastAsia="Times New Roman" w:hAnsi="Times New Roman" w:cs="2  Badr"/>
          <w:sz w:val="24"/>
          <w:szCs w:val="24"/>
        </w:rPr>
        <w:t>on</w:t>
      </w:r>
      <w:proofErr w:type="gramEnd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: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دی ۱۵, ۱۳۹۴در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: </w:t>
      </w:r>
      <w:hyperlink r:id="rId4" w:tooltip="View all posts in صفحه اصلی" w:history="1">
        <w:r w:rsidRPr="00B34310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صفحه اصلی</w:t>
        </w:r>
      </w:hyperlink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, </w:t>
      </w:r>
      <w:hyperlink r:id="rId5" w:tooltip="View all posts in مقالات برگزیده" w:history="1">
        <w:r w:rsidRPr="00B34310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مقالات برگزیده</w:t>
        </w:r>
      </w:hyperlink>
      <w:hyperlink r:id="rId6" w:anchor="respond" w:history="1">
        <w:r w:rsidRPr="00B34310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No Comments</w:t>
        </w:r>
      </w:hyperlink>
    </w:p>
    <w:p w:rsidR="00B34310" w:rsidRPr="00B34310" w:rsidRDefault="00B34310" w:rsidP="00B34310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hyperlink r:id="rId7" w:history="1">
        <w:r w:rsidRPr="00B34310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Print</w:t>
        </w:r>
      </w:hyperlink>
      <w:hyperlink r:id="rId8" w:history="1">
        <w:r w:rsidRPr="00B34310">
          <w:rPr>
            <w:rFonts w:ascii="Times New Roman" w:eastAsia="Times New Roman" w:hAnsi="Times New Roman" w:cs="2  Badr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B34310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Email</w:t>
        </w:r>
      </w:hyperlink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محمد جواد رودگر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اشاره</w:t>
      </w:r>
      <w:r w:rsidRPr="00B34310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خلوت دل نیست جاى صحبت اغیار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 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دیو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چو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بیرون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رود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فرشته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درآید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براى اینکه دل انسان به نور الهى جلوه‏گر شود مقدماتى لازم است و خود این مقدمات مراحلى دارد که باید دانست تا توفیق عمل به آنها را پیدا کرد. سالک که مى‏خواهد پرتو حضرت حق در دلش جلوه‏گر شود، باید بستر لازم را براى حضور آن نور مطلق فراهم کند «جاروب کن تو خانه سپس میهمان طلب». در این نوشتار به مقدمات و مراحل لازم تجلى آن نور مقدس در انسان پرداخته مى‏شود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خالى کردن نفس از رذایل‏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در بحث از طریق عملى نفس گفته شد که جوهره حرکت انسان به سوى خدا، تطهیر درون و تزکیه نفس است، اما باید دانست که انسان تا مرحله «تخلیه» را طى نکند، به «تحلیه» نمى‏رسد. تخلیه، همان خالى کردن نفس از رذایل است؛ یعنى در میدان جهاد با نفس باید فضایل پیروز گردند و با توبه و انابه، «انقلابى حقیقى» در درون خود پدید آورد؛ انقلابى علیه خویشتنِ خویش، که از مقام «هست»، به مقام «باید»، و از وضع موجود به وضع </w:t>
      </w:r>
      <w:r w:rsidRPr="00B34310">
        <w:rPr>
          <w:rFonts w:ascii="Times New Roman" w:eastAsia="Times New Roman" w:hAnsi="Times New Roman" w:cs="2  Badr"/>
          <w:sz w:val="24"/>
          <w:szCs w:val="24"/>
        </w:rPr>
        <w:t>«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مطلوب» سیر کند. تا این مرحله را سپرى نکند، به مرتبه «تحلیه» یا آراستگى باطن به صفات حمیده و فضایل و مکارم عالى اخلاقى، نمى‏رسد و «مقام تجلیه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»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را که نور الهى جلوه مى‏کند، درک و دریافت نخواهد کرد. پس لازم است قبل از </w:t>
      </w:r>
      <w:r w:rsidRPr="00B34310">
        <w:rPr>
          <w:rFonts w:ascii="Times New Roman" w:eastAsia="Times New Roman" w:hAnsi="Times New Roman" w:cs="2  Badr"/>
          <w:sz w:val="24"/>
          <w:szCs w:val="24"/>
        </w:rPr>
        <w:t>«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تحلیه» و «تجلیه» به «تخلیه» خود پرداخت. و تحقق این امر، با سیر و سلوک اخلاقى امکان‏پذیر است. به همین دلیل، سائر الى‏الله بایسته است از منزل اخلاق به منزل عرفان راه یابد که راه عرفان از اخلاق مى‏گذرد و تخلّق به اخلاق الهى که ره‏آورد سلوکِ قرآنى است، انسان را خداخُو مى‏سازد و سالک را به مقام «وصول» مى‏رساند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چهار گام آغازین سلوک‏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آیه «قَد أَفْلَحَ مَن زَکّاهَا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1" w:name="_ednref1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در مقام تبیین فَلاح انسان بر محور تزکیه نفس است؛ یعنى رهایى انسان از ماسواى الهى و از همه قیود و بندگى و بردگى غیرخدا. اگر انسان مصداق </w:t>
      </w:r>
      <w:r w:rsidRPr="00B34310">
        <w:rPr>
          <w:rFonts w:ascii="Times New Roman" w:eastAsia="Times New Roman" w:hAnsi="Times New Roman" w:cs="2  Badr"/>
          <w:sz w:val="24"/>
          <w:szCs w:val="24"/>
        </w:rPr>
        <w:t>«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طهّروا انفسکم مِنْ دَنَس الشَّهوات تدرِکوا رفیع الدَّرجات‏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2" w:name="_ednref2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"_edn2"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گردد، در صراط تزکیه نفس قدم مى‏نهد و منازل تزکیه‏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نفس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را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در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پرتو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اوامر و نواهى الهى و سنّت‏هاى الهى، یکى پس از دیگرى طى مى‏کند و به تعبیر ابن‏سینا</w:t>
      </w:r>
      <w:r w:rsidRPr="00B34310">
        <w:rPr>
          <w:rFonts w:ascii="Times New Roman" w:eastAsia="Times New Roman" w:hAnsi="Times New Roman" w:cs="2  Badr"/>
          <w:sz w:val="24"/>
          <w:szCs w:val="24"/>
        </w:rPr>
        <w:t>: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العارفون المتنزّهون الا وضع عنهم دَنَسُ مقارنَه البدن وانفکّوا عن الشواغل خلصوا الی عالم القدس والسّعاده وَانْتَعَشوا بالکمال الأعلی و حَصَلَت لهم اللّذه العلیا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3" w:name="_ednref3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"_edn3"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۳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"/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؛ چه اینکه پاکى و طهارت از علایق و شهوات حیوانى و رهایى از امور جسمانى یا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حیوانى و خلاصى از امور مادّى و حبّ دنیا، مقدمه ورود به عالم قدس و سعادت و دریافت کمال اعلى و وَجْد و ابتهاج روحانى و رحمانى یا تجربه‏هاى عرفانى است و بالاترین لذّت‏هاى روحانى و قدسى را فراروى انسان سالک قرار مى‏دهد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در جاى دیگرى بوعلى سینا نوشته است</w:t>
      </w:r>
      <w:r w:rsidRPr="00B34310">
        <w:rPr>
          <w:rFonts w:ascii="Times New Roman" w:eastAsia="Times New Roman" w:hAnsi="Times New Roman" w:cs="2  Badr"/>
          <w:sz w:val="24"/>
          <w:szCs w:val="24"/>
        </w:rPr>
        <w:t>: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</w:rPr>
        <w:t xml:space="preserve">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العرفان مبتدءٍ مِنْ تفریقٍ و نفضٍ و ترکٍ و رَفْضٍ معن فی جمعٍ، هو جمع صفات الحق للذّات المریده بالضّدق، منته الی الواحد، ثم وقوف‏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».</w:t>
      </w:r>
      <w:bookmarkStart w:id="4" w:name="_ednref4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"_edn4"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۴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تفریق، مبالغه در فرق گذاشتن و زیاد جداکردن است؛ یعنى سالک بین خود و بین ماسواى‏الله، جدایى بیندازد و آنچه را که بر خود بسته است، از خود دور سازد. اولین قدم این است که سالک همه تعلّقات را قطع کند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گام بعد، «نفض» یا تکاندن است. اگر چیزى به لباس یا فرش چسبیده باشد، اولًا آن را از روى لباس و فرش جدا مى‏کنند و سپس لباس را مى‏تکانند تا اگر چیزى از آثار آن مانده باشد، بر طرف شود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عارف باید به گونه‏اى خویشتنِ خویش را بتکاند که حتى گرد و غبارها و تعلّقات اندک را هم که بر دل نشسته است، بزداید.</w:t>
      </w:r>
      <w:r w:rsidRPr="00B3431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گام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سوم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این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است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که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B34310">
        <w:rPr>
          <w:rFonts w:ascii="Times New Roman" w:eastAsia="Times New Roman" w:hAnsi="Times New Roman" w:cs="2  Badr" w:hint="cs"/>
          <w:sz w:val="24"/>
          <w:szCs w:val="24"/>
          <w:rtl/>
        </w:rPr>
        <w:t>هرگز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 چیزى را براى خود نخواهد و همه چیز را «ترک» کند، حتى همین خویشتن تکانى را کمال خود تلقّى نکند و آن را هم با تکاندنى دیگر، از خود جدا کند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سالک در گام چهارم باید «رفض» یا خودتکانى کند؛ یعنى خود را هم نبیند. رَفْض همان ترک با اهمال و بى‏اعتنایى است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گاهى انسان چیز مورد علاقه خود را ترک مى‏کند؛ چون فرصت نگهدارى آن را ندارد؛ اما گاهى چیزى را که مورد علاقه او نیست، ترک مى‏کند که این ترک، همراه با بى‏اعتنایى است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این چهار مرحله که براى تزکیه و تخلیه است، از مراحل آغازین عرفان است. سپس نوبت این است که عارف، صفات الهى را در خود جمع کند؛ چون وقتى روح عارف تزکیه و از رذایل «تخلیه» شد، نوبت «تحلیه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»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و «تجلیه» فرا مى‏رسد. آن‏گاه او همه اینها را به آستانه ذات اقدس اله که واحد است، مى‏برد و محو مى‏شود؛ یعنى وقتى به مقصد رسید، آرام مى‏گیرد؛ گرچه حرکت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مِنَ‏الله إلى‏الله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»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پایان‏ناپذیر است و این سیر و سلوک، با سیر و سلوک زاهد و عابد تفاوت فراوان دارد</w:t>
      </w:r>
      <w:bookmarkStart w:id="5" w:name="_ednref5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"_edn5"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۵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"/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پاکى از غیر خدا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پس «شراب طهور» الهى را باید بنوشد تا از غیرخدا و هر چه که هست، یکسره پاک گردد</w:t>
      </w:r>
      <w:r w:rsidRPr="00B34310">
        <w:rPr>
          <w:rFonts w:ascii="Times New Roman" w:eastAsia="Times New Roman" w:hAnsi="Times New Roman" w:cs="2  Badr"/>
          <w:sz w:val="24"/>
          <w:szCs w:val="24"/>
        </w:rPr>
        <w:t>: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شَرَاباً طَهُوراً انی یطهّرهم عن کلّ شی‏ءٍ سَوِی‏الله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».</w:t>
      </w:r>
      <w:bookmarkStart w:id="6" w:name="_ednref6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"_edn6"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۶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6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«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طهور» صیغه مبالغه است و به چیزى گفته مى‏شود که هم پاک است و هم پاک‏کننده. از این رو، مى‏بینیم که تخلیه، تزکیه، تحلیه و تجلیه، در تعریف ابن‏سینا مندرج‏اند. حدیث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العارفُ مَنْ عَرَفَ نَفْسَه فاعتقها و نزّهَها عن کلّ مایبعدها و یوبقها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7" w:name="_ednref7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"_edn7"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۷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7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نیز به این مراحل نزدیک است و مسیر حرکت سالک را از اخلاق به عرفان و طى مدارج اخلاقى و معارج عرفانى نشان مى‏دهد. بدین سان سالک در مقام سیر و سلوکش به وحدت مى‏رسد. در تعبیر خواجه نصیرالدین طوسى آمده است: «در وحدت، سالک و سلوک، و سیر و مقصد، و طالب و طلب و مطلوب نباشد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…»</w:t>
      </w:r>
      <w:bookmarkStart w:id="8" w:name="_ednref8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"_edn8"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۸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8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که قیامت سلوکى عارف یک حقیقت بیش نیست</w:t>
      </w:r>
      <w:r w:rsidRPr="00B34310">
        <w:rPr>
          <w:rFonts w:ascii="Times New Roman" w:eastAsia="Times New Roman" w:hAnsi="Times New Roman" w:cs="2  Badr"/>
          <w:sz w:val="24"/>
          <w:szCs w:val="24"/>
        </w:rPr>
        <w:t>: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لِمَنِ الْمُلْک الْیوْمَ للهِ الْوَاحِد الْقَهَّارِ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</w:rPr>
        <w:t>»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  <w:bookmarkStart w:id="9" w:name="_ednref9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"_edn9"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۹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9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در شرح اشارات خواجه طوسى نیز به مقام «وقوف» (منتهٍ الى الواحد ثم وقوف) اشاره شده است</w:t>
      </w:r>
      <w:r w:rsidRPr="00B34310">
        <w:rPr>
          <w:rFonts w:ascii="Times New Roman" w:eastAsia="Times New Roman" w:hAnsi="Times New Roman" w:cs="2  Badr"/>
          <w:sz w:val="24"/>
          <w:szCs w:val="24"/>
        </w:rPr>
        <w:t>: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هناک لایبقی واصفُ ولاموصوف ولاسالک ولامسلوک ولاعارف ولامعروف و هو مقام الوقوف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10" w:name="_ednref10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"_edn10"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۱۰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0"/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پس به تعبیر امام على علیه السلام: «لایزکوا عندالله سبحانه الّا عقل عارف و نفسٌ عَزوف‏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11" w:name="_ednref11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"_edn11"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۱۱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1"/>
      <w:r w:rsidRPr="00B34310">
        <w:rPr>
          <w:rFonts w:ascii="Times New Roman" w:eastAsia="Times New Roman" w:hAnsi="Times New Roman" w:cs="2  Badr"/>
          <w:sz w:val="24"/>
          <w:szCs w:val="24"/>
          <w:rtl/>
        </w:rPr>
        <w:t>؛ یعنى انسان خردگرا و عاقل و صاحب نفسِ رویگردان از دنیا و اعتبارات دنیوى و نفسانى، ابتدا اهل تزکیه و طهارت است و سپس شایسته سیر و سلوک الى‏الله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به همین دلیل، گفته آمد که انسان تا اخلاقى نباشد، عرفانى نمى‏شود و تا مراحل اخلاق را پشت سر نگذارد، مراحل عرفان را پیش روى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نخواهد داشت و عرفان به نفس، همه مقدمات و مقارنات سلوک اخلاقى- عرفانى را در بر خواهد داشت</w:t>
      </w:r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پس انسان باید در سلوک اخلاقى- عرفانى، از نفس اماره بگذرد تا به نفس مطمئنّه و راضیه و مرضیه برسد</w:t>
      </w:r>
      <w:bookmarkStart w:id="12" w:name="_ednref12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"_edn12"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۱۲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2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و به تعبیر امام على علیه السلام: «الاشتغال بتهذیب النّفس أصلح‏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13" w:name="_ednref13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"_edn13"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۱۳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3"/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، </w:t>
      </w:r>
      <w:r w:rsidRPr="00B34310">
        <w:rPr>
          <w:rFonts w:ascii="Times New Roman" w:eastAsia="Times New Roman" w:hAnsi="Times New Roman" w:cs="2  Badr"/>
          <w:sz w:val="24"/>
          <w:szCs w:val="24"/>
        </w:rPr>
        <w:t>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خیر النّفوس أزکاها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</w:rPr>
        <w:t>»</w:t>
      </w:r>
      <w:bookmarkStart w:id="14" w:name="_ednref14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"_edn14"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۱۴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4"/>
      <w:r w:rsidRPr="00B34310">
        <w:rPr>
          <w:rFonts w:ascii="Times New Roman" w:eastAsia="Times New Roman" w:hAnsi="Times New Roman" w:cs="2  Badr"/>
          <w:sz w:val="24"/>
          <w:szCs w:val="24"/>
          <w:rtl/>
        </w:rPr>
        <w:t xml:space="preserve">، </w:t>
      </w:r>
      <w:r w:rsidRPr="00B34310">
        <w:rPr>
          <w:rFonts w:ascii="Times New Roman" w:eastAsia="Times New Roman" w:hAnsi="Times New Roman" w:cs="2  Badr"/>
          <w:sz w:val="24"/>
          <w:szCs w:val="24"/>
        </w:rPr>
        <w:t>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ذروَه الغایاتِ لاینالها الّا ذُو التّهذیب و المجاهدات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‏</w:t>
      </w:r>
      <w:r w:rsidRPr="00B34310">
        <w:rPr>
          <w:rFonts w:ascii="Times New Roman" w:eastAsia="Times New Roman" w:hAnsi="Times New Roman" w:cs="2  Badr"/>
          <w:sz w:val="24"/>
          <w:szCs w:val="24"/>
        </w:rPr>
        <w:t>»</w:t>
      </w:r>
      <w:bookmarkStart w:id="15" w:name="_ednref15"/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"_edn15"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۱۵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5"/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آرى، تزکیه نفس تشکیک‏پذیر، تدریجى و با مجاهدت و تحّمل ریاضت ممکن و میسور است و مقدمه واجبِ عرفانِ عملى و سلوکِ عرفانى است. قرآن کریم نیز بدین نکته رهنمون شده و «تزکیه نفس» و تخلّق به اخلاقِ الهى و رشد و فلاح و سعادت و صِلاح را در گرو هم نهاده است. امام على علیه السلام فرمود</w:t>
      </w:r>
      <w:r w:rsidRPr="00B34310">
        <w:rPr>
          <w:rFonts w:ascii="Times New Roman" w:eastAsia="Times New Roman" w:hAnsi="Times New Roman" w:cs="2  Badr"/>
          <w:sz w:val="24"/>
          <w:szCs w:val="24"/>
        </w:rPr>
        <w:t>: «</w:t>
      </w:r>
      <w:r w:rsidRPr="00B34310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قلوب العبادِ الطاهره مواضع نظرالله سبحانه، فمن طَهُرَ قلبه نظر الیه‏</w:t>
      </w:r>
    </w:p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پیوست‌ها</w:t>
      </w:r>
      <w:r w:rsidRPr="00B34310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bookmarkStart w:id="16" w:name="_edn1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6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سوره شمس: ۹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7" w:name="_edn2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"_ednref2"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7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شرح غررالحکم، ج ۴، ص ۲۵۷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8" w:name="_edn3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"_ednref3"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۳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8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الاشارات و التنبیهات، ج ۳، تنبیه سیزدهم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9" w:name="_edn4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"_ednref4"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۴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9"/>
      <w:proofErr w:type="gramStart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..</w:t>
      </w:r>
      <w:proofErr w:type="gramEnd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همان، ص ۴۱۹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0" w:name="_edn5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"_ednref5"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۵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0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تفسیر موضوعی قرآن مجید، عبد الله جوادی آملی، ج ۱۰، چ ۳، ۱۳۷۹ ش، مرکز نشر اسراء، قم، ص ۲۹۲- ۲۹۳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1" w:name="_edn6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"_ednref6"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۶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1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مجمع‏البیان، فضل بن حسن طبرسى، ذیل آیه ۲۱ سوره انسان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2" w:name="_edn7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"_ednref7"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۷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2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غررالحکم، ح ۱۷۸۸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3" w:name="_edn8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"_ednref8"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۸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3"/>
      <w:proofErr w:type="gramStart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..</w:t>
      </w:r>
      <w:proofErr w:type="gramEnd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اوصاف‏الاشراف، وزارت ارشاد اسلامى، ص ۱۰۱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4" w:name="_edn9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"_ednref9"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۹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4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سوره غافر: ۱۶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5" w:name="_edn10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"_ednref10"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۱۰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5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ر. ک: دروس شرح اشارات و تنبیهات، حسن حسن‏زاده آملى، ص ۲۵۸ و شرح تفصیلى ۲۴۳- ۲۵۹، چ ۱، ۱۳۸۳ ش، مطبوعات دینى، قم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6" w:name="_edn11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"_ednref11"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۱۱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6"/>
      <w:proofErr w:type="gramStart"/>
      <w:r w:rsidRPr="00B34310">
        <w:rPr>
          <w:rFonts w:ascii="Times New Roman" w:eastAsia="Times New Roman" w:hAnsi="Times New Roman" w:cs="2  Badr"/>
          <w:sz w:val="24"/>
          <w:szCs w:val="24"/>
        </w:rPr>
        <w:t>..</w:t>
      </w:r>
      <w:proofErr w:type="gramEnd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ر. ک: میزان‏الحکمه، ص ۶۲۸۶- ۶۴۱۱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7" w:name="_edn12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"_ednref12"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۱۲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7"/>
      <w:proofErr w:type="gramStart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..</w:t>
      </w:r>
      <w:proofErr w:type="gramEnd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همان، ص ۶۳۹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8" w:name="_edn13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"_ednref13"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۱۳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8"/>
      <w:proofErr w:type="gramStart"/>
      <w:r w:rsidRPr="00B34310">
        <w:rPr>
          <w:rFonts w:ascii="Times New Roman" w:eastAsia="Times New Roman" w:hAnsi="Times New Roman" w:cs="2  Badr"/>
          <w:sz w:val="24"/>
          <w:szCs w:val="24"/>
        </w:rPr>
        <w:t>..</w:t>
      </w:r>
      <w:proofErr w:type="gramEnd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همان، ص ۶۳۹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9" w:name="_edn14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lastRenderedPageBreak/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"_ednref14"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۱۴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9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همان، ص ۶۳۹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0" w:name="_edn15"/>
    <w:p w:rsidR="00B34310" w:rsidRPr="00B34310" w:rsidRDefault="00B34310" w:rsidP="00B34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B34310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"http://bonyadhad.ir/2888" \l "_ednref15" </w:instrTex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۱۵</w:t>
      </w:r>
      <w:r w:rsidRPr="00B34310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B34310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0"/>
      <w:r w:rsidRPr="00B34310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B34310">
        <w:rPr>
          <w:rFonts w:ascii="Times New Roman" w:eastAsia="Times New Roman" w:hAnsi="Times New Roman" w:cs="2  Badr"/>
          <w:sz w:val="24"/>
          <w:szCs w:val="24"/>
          <w:rtl/>
        </w:rPr>
        <w:t>همان ص ۶۳۹</w:t>
      </w:r>
      <w:r w:rsidRPr="00B34310">
        <w:rPr>
          <w:rFonts w:ascii="Times New Roman" w:eastAsia="Times New Roman" w:hAnsi="Times New Roman" w:cs="2  Badr"/>
          <w:sz w:val="24"/>
          <w:szCs w:val="24"/>
        </w:rPr>
        <w:t>.</w:t>
      </w:r>
    </w:p>
    <w:bookmarkEnd w:id="0"/>
    <w:p w:rsidR="00C91541" w:rsidRPr="00B34310" w:rsidRDefault="00C91541" w:rsidP="00B34310">
      <w:pPr>
        <w:rPr>
          <w:rFonts w:cs="2  Badr"/>
        </w:rPr>
      </w:pPr>
    </w:p>
    <w:sectPr w:rsidR="00C91541" w:rsidRPr="00B34310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1C"/>
    <w:rsid w:val="0081061C"/>
    <w:rsid w:val="00B34310"/>
    <w:rsid w:val="00B86F9F"/>
    <w:rsid w:val="00C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F3B995-EAC1-40A0-B9CE-D8537BDB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343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343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3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&#1585;&#1575;&#1607;%20&#1593;&#1585;&#1601;&#1575;&#1606;&#1548;%20&#1575;&#1586;%20&#1575;&#1582;&#1604;&#1575;&#1602;%20&#1605;&#1609;&#8207;&#1711;&#1584;&#1585;&#1583;&amp;body=&#1585;&#1575;&#1607;%20&#1593;&#1585;&#1601;&#1575;&#1606;&#1548;%20&#1575;&#1586;%20&#1575;&#1582;&#1604;&#1575;&#1602;%20&#1605;&#1609;&#8207;&#1711;&#1584;&#1585;&#1583;%20http://bonyadhad.ir/2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yadhad.ir/2888" TargetMode="External"/><Relationship Id="rId5" Type="http://schemas.openxmlformats.org/officeDocument/2006/relationships/hyperlink" Target="http://bonyadhad.ir/category/home/ma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onyadhad.ir/category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2</cp:revision>
  <dcterms:created xsi:type="dcterms:W3CDTF">2018-04-09T09:22:00Z</dcterms:created>
  <dcterms:modified xsi:type="dcterms:W3CDTF">2018-04-09T09:24:00Z</dcterms:modified>
</cp:coreProperties>
</file>